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64812AD3"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D71395">
        <w:rPr>
          <w:rFonts w:ascii="Arial" w:eastAsia="SimSun" w:hAnsi="Arial" w:cs="Times New Roman"/>
          <w:b/>
          <w:sz w:val="24"/>
          <w:szCs w:val="20"/>
          <w:lang w:val="en-GB"/>
        </w:rPr>
        <w:t>6</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721B4" w:rsidRPr="001721B4">
        <w:rPr>
          <w:rFonts w:ascii="Arial" w:eastAsia="SimSun" w:hAnsi="Arial" w:cs="Times New Roman"/>
          <w:b/>
          <w:bCs/>
          <w:sz w:val="24"/>
          <w:szCs w:val="20"/>
          <w:lang w:val="en-GB" w:eastAsia="ja-JP"/>
        </w:rPr>
        <w:t>R4-2009854</w:t>
      </w:r>
      <w:bookmarkStart w:id="3" w:name="_GoBack"/>
      <w:bookmarkEnd w:id="3"/>
    </w:p>
    <w:bookmarkEnd w:id="0"/>
    <w:bookmarkEnd w:id="1"/>
    <w:p w14:paraId="5E338201" w14:textId="1CE275A6"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D71395">
        <w:rPr>
          <w:rFonts w:ascii="Arial" w:eastAsia="SimSun" w:hAnsi="Arial" w:cs="Times New Roman"/>
          <w:b/>
          <w:sz w:val="24"/>
          <w:szCs w:val="20"/>
          <w:lang w:val="en-GB"/>
        </w:rPr>
        <w:t xml:space="preserve">17-28 </w:t>
      </w:r>
      <w:proofErr w:type="gramStart"/>
      <w:r w:rsidR="00D71395">
        <w:rPr>
          <w:rFonts w:ascii="Arial" w:eastAsia="SimSun" w:hAnsi="Arial" w:cs="Times New Roman"/>
          <w:b/>
          <w:sz w:val="24"/>
          <w:szCs w:val="20"/>
          <w:lang w:val="en-GB"/>
        </w:rPr>
        <w:t>Aug.</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2020</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1254C2B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102B7F" w:rsidRPr="00102B7F">
        <w:rPr>
          <w:rFonts w:ascii="Arial" w:eastAsia="Calibri" w:hAnsi="Arial" w:cs="Arial"/>
          <w:b/>
          <w:bCs/>
          <w:sz w:val="24"/>
          <w:lang w:val="en-GB"/>
        </w:rPr>
        <w:t xml:space="preserve">On NR Rel-16 HST BS demodulation </w:t>
      </w:r>
      <w:r w:rsidR="00FD2B3E">
        <w:rPr>
          <w:rFonts w:ascii="Arial" w:eastAsia="Calibri" w:hAnsi="Arial" w:cs="Arial"/>
          <w:b/>
          <w:bCs/>
          <w:sz w:val="24"/>
          <w:lang w:val="en-GB"/>
        </w:rPr>
        <w:t>PRACH</w:t>
      </w:r>
      <w:r w:rsidR="00102B7F" w:rsidRPr="00102B7F">
        <w:rPr>
          <w:rFonts w:ascii="Arial" w:eastAsia="Calibri" w:hAnsi="Arial" w:cs="Arial"/>
          <w:b/>
          <w:bCs/>
          <w:sz w:val="24"/>
          <w:lang w:val="en-GB"/>
        </w:rPr>
        <w:t xml:space="preserve"> requirements</w:t>
      </w:r>
      <w:r w:rsidR="00557085">
        <w:rPr>
          <w:rFonts w:ascii="Arial" w:eastAsia="Calibri" w:hAnsi="Arial" w:cs="Arial"/>
          <w:b/>
          <w:bCs/>
          <w:sz w:val="24"/>
          <w:lang w:val="en-GB"/>
        </w:rPr>
        <w:t xml:space="preserve"> and simulation results</w:t>
      </w:r>
    </w:p>
    <w:p w14:paraId="139CE457" w14:textId="0BA1EC7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02B7F" w:rsidRPr="00102B7F">
        <w:rPr>
          <w:rFonts w:ascii="Arial" w:eastAsia="MS Mincho" w:hAnsi="Arial" w:cs="Arial"/>
          <w:b/>
          <w:bCs/>
          <w:sz w:val="24"/>
          <w:szCs w:val="20"/>
          <w:lang w:val="en-GB"/>
        </w:rPr>
        <w:t>7.15.3.2.</w:t>
      </w:r>
      <w:r w:rsidR="00FD2B3E">
        <w:rPr>
          <w:rFonts w:ascii="Arial" w:eastAsia="MS Mincho" w:hAnsi="Arial" w:cs="Arial"/>
          <w:b/>
          <w:bCs/>
          <w:sz w:val="24"/>
          <w:szCs w:val="20"/>
          <w:lang w:val="en-GB"/>
        </w:rPr>
        <w:t>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296E64FF" w14:textId="2BDDA7AE" w:rsidR="007C4B03" w:rsidRDefault="00102B7F" w:rsidP="005C23A4">
      <w:pPr>
        <w:rPr>
          <w:lang w:val="en-GB"/>
        </w:rPr>
      </w:pPr>
      <w:r>
        <w:rPr>
          <w:lang w:val="en-GB"/>
        </w:rPr>
        <w:t>During the last RAN4#9</w:t>
      </w:r>
      <w:r w:rsidR="002B7A0E">
        <w:rPr>
          <w:lang w:val="en-GB"/>
        </w:rPr>
        <w:t>5</w:t>
      </w:r>
      <w:r>
        <w:rPr>
          <w:lang w:val="en-GB"/>
        </w:rPr>
        <w:t xml:space="preserve">-e meeting, good progress was made on the topic of </w:t>
      </w:r>
      <w:r w:rsidRPr="009757AE">
        <w:rPr>
          <w:lang w:val="en-GB"/>
        </w:rPr>
        <w:t xml:space="preserve">NR Rel-16 HST BS demodulation </w:t>
      </w:r>
      <w:r w:rsidR="005F23EE">
        <w:rPr>
          <w:lang w:val="en-GB"/>
        </w:rPr>
        <w:t>RACH</w:t>
      </w:r>
      <w:r w:rsidRPr="009757AE">
        <w:rPr>
          <w:lang w:val="en-GB"/>
        </w:rPr>
        <w:t xml:space="preserve"> requirements</w:t>
      </w:r>
      <w:r>
        <w:rPr>
          <w:lang w:val="en-GB"/>
        </w:rPr>
        <w:t xml:space="preserve"> </w:t>
      </w:r>
      <w:r w:rsidR="00D51109">
        <w:rPr>
          <w:lang w:val="en-GB"/>
        </w:rPr>
        <w:fldChar w:fldCharType="begin"/>
      </w:r>
      <w:r w:rsidR="00D51109">
        <w:rPr>
          <w:lang w:val="en-GB"/>
        </w:rPr>
        <w:instrText xml:space="preserve"> REF _Ref46946874 \n \h </w:instrText>
      </w:r>
      <w:r w:rsidR="00D51109">
        <w:rPr>
          <w:lang w:val="en-GB"/>
        </w:rPr>
      </w:r>
      <w:r w:rsidR="00D51109">
        <w:rPr>
          <w:lang w:val="en-GB"/>
        </w:rPr>
        <w:fldChar w:fldCharType="separate"/>
      </w:r>
      <w:r w:rsidR="000F03B3">
        <w:rPr>
          <w:lang w:val="en-GB"/>
        </w:rPr>
        <w:t>[1]</w:t>
      </w:r>
      <w:r w:rsidR="00D51109">
        <w:rPr>
          <w:lang w:val="en-GB"/>
        </w:rPr>
        <w:fldChar w:fldCharType="end"/>
      </w:r>
      <w:r>
        <w:rPr>
          <w:lang w:val="en-GB"/>
        </w:rPr>
        <w:t>.</w:t>
      </w:r>
      <w:r w:rsidR="00D51109">
        <w:rPr>
          <w:lang w:val="en-GB"/>
        </w:rPr>
        <w:t xml:space="preserve"> </w:t>
      </w:r>
      <w:r w:rsidR="005F23EE">
        <w:rPr>
          <w:lang w:val="en-GB"/>
        </w:rPr>
        <w:t xml:space="preserve">Some of </w:t>
      </w:r>
      <w:r w:rsidR="007C4B03">
        <w:rPr>
          <w:lang w:val="en-GB"/>
        </w:rPr>
        <w:t>the most pressing points of contention were resolved, with special mention of applicability rules</w:t>
      </w:r>
      <w:r w:rsidR="005F23EE">
        <w:rPr>
          <w:lang w:val="en-GB"/>
        </w:rPr>
        <w:t xml:space="preserve"> and fixing of previous agreements</w:t>
      </w:r>
      <w:r w:rsidR="007C4B03">
        <w:rPr>
          <w:lang w:val="en-GB"/>
        </w:rPr>
        <w:t>.</w:t>
      </w:r>
    </w:p>
    <w:p w14:paraId="0B0BA718" w14:textId="6A8960DD" w:rsidR="00D51109" w:rsidRDefault="00D51109" w:rsidP="005C23A4">
      <w:pPr>
        <w:rPr>
          <w:lang w:val="en-GB"/>
        </w:rPr>
      </w:pPr>
      <w:r w:rsidRPr="00D51109">
        <w:rPr>
          <w:lang w:val="en-GB"/>
        </w:rPr>
        <w:t>Some remaining issues are captured in the corresponding WF</w:t>
      </w:r>
      <w:r>
        <w:rPr>
          <w:lang w:val="en-GB"/>
        </w:rPr>
        <w:t xml:space="preserve"> </w:t>
      </w:r>
      <w:r>
        <w:rPr>
          <w:lang w:val="en-GB"/>
        </w:rPr>
        <w:fldChar w:fldCharType="begin"/>
      </w:r>
      <w:r>
        <w:rPr>
          <w:lang w:val="en-GB"/>
        </w:rPr>
        <w:instrText xml:space="preserve"> REF _Ref46946904 \n \h </w:instrText>
      </w:r>
      <w:r>
        <w:rPr>
          <w:lang w:val="en-GB"/>
        </w:rPr>
      </w:r>
      <w:r>
        <w:rPr>
          <w:lang w:val="en-GB"/>
        </w:rPr>
        <w:fldChar w:fldCharType="separate"/>
      </w:r>
      <w:r w:rsidR="000F03B3">
        <w:rPr>
          <w:lang w:val="en-GB"/>
        </w:rPr>
        <w:t>[2]</w:t>
      </w:r>
      <w:r>
        <w:rPr>
          <w:lang w:val="en-GB"/>
        </w:rPr>
        <w:fldChar w:fldCharType="end"/>
      </w:r>
      <w:r>
        <w:rPr>
          <w:lang w:val="en-GB"/>
        </w:rPr>
        <w:t>.</w:t>
      </w:r>
      <w:r w:rsidR="007C4B03">
        <w:rPr>
          <w:lang w:val="en-GB"/>
        </w:rPr>
        <w:t xml:space="preserve"> </w:t>
      </w:r>
      <w:r>
        <w:rPr>
          <w:lang w:val="en-GB"/>
        </w:rPr>
        <w:t>The major open topics being:</w:t>
      </w:r>
    </w:p>
    <w:p w14:paraId="39044081" w14:textId="25157659" w:rsidR="00D51109" w:rsidRPr="00D51109" w:rsidRDefault="005F23EE" w:rsidP="005E0AD9">
      <w:pPr>
        <w:pStyle w:val="ListParagraph"/>
        <w:numPr>
          <w:ilvl w:val="0"/>
          <w:numId w:val="8"/>
        </w:numPr>
        <w:rPr>
          <w:lang w:val="en-GB"/>
        </w:rPr>
      </w:pPr>
      <w:r w:rsidRPr="005F23EE">
        <w:t>TDLC300-100 propagation conditions for long preamble formats</w:t>
      </w:r>
      <w:r w:rsidR="00D51109">
        <w:rPr>
          <w:lang w:val="en-GB"/>
        </w:rPr>
        <w:t>.</w:t>
      </w:r>
    </w:p>
    <w:p w14:paraId="732B78F7" w14:textId="2DB3FE12" w:rsidR="00D51109" w:rsidRDefault="005F23EE" w:rsidP="005E0AD9">
      <w:pPr>
        <w:pStyle w:val="ListParagraph"/>
        <w:numPr>
          <w:ilvl w:val="0"/>
          <w:numId w:val="8"/>
        </w:numPr>
        <w:rPr>
          <w:lang w:val="en-GB"/>
        </w:rPr>
      </w:pPr>
      <w:r>
        <w:rPr>
          <w:lang w:val="en-GB"/>
        </w:rPr>
        <w:t>Manufacturer declarations.</w:t>
      </w:r>
    </w:p>
    <w:p w14:paraId="6D26D60C" w14:textId="2950504E" w:rsidR="005F23EE" w:rsidRPr="00D51109" w:rsidRDefault="005F23EE" w:rsidP="005E0AD9">
      <w:pPr>
        <w:pStyle w:val="ListParagraph"/>
        <w:numPr>
          <w:ilvl w:val="0"/>
          <w:numId w:val="8"/>
        </w:numPr>
        <w:rPr>
          <w:lang w:val="en-GB"/>
        </w:rPr>
      </w:pPr>
      <w:r>
        <w:rPr>
          <w:lang w:val="en-GB"/>
        </w:rPr>
        <w:t>Test applicability for short PRACH formats</w:t>
      </w:r>
    </w:p>
    <w:p w14:paraId="53374FE7" w14:textId="23F86371" w:rsidR="00D51109" w:rsidRDefault="00D51109" w:rsidP="005C23A4">
      <w:pPr>
        <w:rPr>
          <w:lang w:val="en-GB"/>
        </w:rPr>
      </w:pPr>
      <w:r w:rsidRPr="00D51109">
        <w:rPr>
          <w:lang w:val="en-GB"/>
        </w:rPr>
        <w:t>In this contribution we will express our views on the captured open issues and open new discussions, if necessary.</w:t>
      </w:r>
    </w:p>
    <w:p w14:paraId="2DB69DA6" w14:textId="77777777" w:rsidR="0084262F" w:rsidRDefault="0084262F" w:rsidP="005C23A4">
      <w:pPr>
        <w:rPr>
          <w:lang w:val="en-GB"/>
        </w:rPr>
      </w:pPr>
    </w:p>
    <w:p w14:paraId="01EA7F47" w14:textId="7A38A808" w:rsidR="00C21ADB" w:rsidRDefault="00C21ADB" w:rsidP="005C23A4">
      <w:pPr>
        <w:rPr>
          <w:lang w:val="en-GB"/>
        </w:rPr>
      </w:pPr>
    </w:p>
    <w:p w14:paraId="6A93224E" w14:textId="77777777" w:rsidR="00244CF2" w:rsidRDefault="00244CF2" w:rsidP="005C23A4">
      <w:pPr>
        <w:rPr>
          <w:lang w:val="en-GB"/>
        </w:rPr>
      </w:pPr>
    </w:p>
    <w:p w14:paraId="56D534DA" w14:textId="7149BAD5" w:rsidR="00C21ADB" w:rsidRPr="0028713C" w:rsidRDefault="00C21ADB" w:rsidP="00C21ADB">
      <w:pPr>
        <w:pStyle w:val="RAN4H1"/>
      </w:pPr>
      <w:r w:rsidRPr="0028713C">
        <w:t>Discussion o</w:t>
      </w:r>
      <w:r>
        <w:t>n</w:t>
      </w:r>
      <w:r w:rsidRPr="0028713C">
        <w:t xml:space="preserve"> open issues</w:t>
      </w:r>
    </w:p>
    <w:p w14:paraId="4C596A62" w14:textId="3F7B8412" w:rsidR="00C21ADB" w:rsidRDefault="00C21ADB" w:rsidP="00C21ADB">
      <w:pPr>
        <w:rPr>
          <w:lang w:val="en-GB"/>
        </w:rPr>
      </w:pPr>
      <w:r>
        <w:rPr>
          <w:lang w:val="en-GB"/>
        </w:rPr>
        <w:t xml:space="preserve">Here we discuss open issues, </w:t>
      </w:r>
      <w:r w:rsidR="00D120AC">
        <w:rPr>
          <w:lang w:val="en-GB"/>
        </w:rPr>
        <w:t>as are left over from the</w:t>
      </w:r>
      <w:r>
        <w:rPr>
          <w:lang w:val="en-GB"/>
        </w:rPr>
        <w:t xml:space="preserve"> last meeting.</w:t>
      </w:r>
    </w:p>
    <w:p w14:paraId="2E17A918" w14:textId="09259622" w:rsidR="005E0AD9" w:rsidRDefault="005E0AD9" w:rsidP="005C23A4">
      <w:pPr>
        <w:rPr>
          <w:lang w:val="en-GB"/>
        </w:rPr>
      </w:pPr>
    </w:p>
    <w:p w14:paraId="01FD4902" w14:textId="01824AF7" w:rsidR="005F23EE" w:rsidRDefault="00F54238" w:rsidP="00DC2E19">
      <w:pPr>
        <w:pStyle w:val="RAN4H2"/>
        <w:rPr>
          <w:lang w:val="en-GB"/>
        </w:rPr>
      </w:pPr>
      <w:r>
        <w:rPr>
          <w:lang w:val="en-GB"/>
        </w:rPr>
        <w:t xml:space="preserve">PRACH </w:t>
      </w:r>
      <w:r w:rsidRPr="00F54238">
        <w:rPr>
          <w:lang w:val="en-GB"/>
        </w:rPr>
        <w:t>TDLC300-100 propagation conditions for long preamble formats</w:t>
      </w:r>
    </w:p>
    <w:p w14:paraId="615A7B88" w14:textId="00EF02AE" w:rsidR="005F23EE" w:rsidRDefault="00092349" w:rsidP="005C23A4">
      <w:pPr>
        <w:rPr>
          <w:lang w:val="en-GB"/>
        </w:rPr>
      </w:pPr>
      <w:r>
        <w:rPr>
          <w:lang w:val="en-GB"/>
        </w:rPr>
        <w:t xml:space="preserve">The discussion about the </w:t>
      </w:r>
      <w:r w:rsidRPr="00F54238">
        <w:rPr>
          <w:lang w:val="en-GB"/>
        </w:rPr>
        <w:t>TDLC300-100</w:t>
      </w:r>
      <w:r>
        <w:rPr>
          <w:lang w:val="en-GB"/>
        </w:rPr>
        <w:t xml:space="preserve"> test requirements for long preamble formats ahs been ongoing for quite some time now. In RAN4#95-e, only limited progress was made </w:t>
      </w:r>
      <w:r>
        <w:rPr>
          <w:lang w:val="en-GB"/>
        </w:rPr>
        <w:fldChar w:fldCharType="begin"/>
      </w:r>
      <w:r>
        <w:rPr>
          <w:lang w:val="en-GB"/>
        </w:rPr>
        <w:instrText xml:space="preserve"> REF _Ref46946904 \n \h </w:instrText>
      </w:r>
      <w:r>
        <w:rPr>
          <w:lang w:val="en-GB"/>
        </w:rPr>
      </w:r>
      <w:r>
        <w:rPr>
          <w:lang w:val="en-GB"/>
        </w:rPr>
        <w:fldChar w:fldCharType="separate"/>
      </w:r>
      <w:r w:rsidR="000F03B3">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092349" w14:paraId="5280E542" w14:textId="77777777" w:rsidTr="0056640E">
        <w:trPr>
          <w:jc w:val="center"/>
        </w:trPr>
        <w:tc>
          <w:tcPr>
            <w:tcW w:w="8655" w:type="dxa"/>
          </w:tcPr>
          <w:p w14:paraId="73C3ED16" w14:textId="77777777" w:rsidR="00092349" w:rsidRPr="00092349" w:rsidRDefault="00092349" w:rsidP="00092349">
            <w:pPr>
              <w:numPr>
                <w:ilvl w:val="0"/>
                <w:numId w:val="18"/>
              </w:numPr>
              <w:rPr>
                <w:lang w:val="en-GB"/>
              </w:rPr>
            </w:pPr>
            <w:r w:rsidRPr="00092349">
              <w:rPr>
                <w:lang w:val="en-GB"/>
              </w:rPr>
              <w:t>TDLC300-100 propagation conditions for long preamble formats</w:t>
            </w:r>
          </w:p>
          <w:p w14:paraId="3E6B61D3" w14:textId="77777777" w:rsidR="00092349" w:rsidRPr="00092349" w:rsidRDefault="00092349" w:rsidP="00092349">
            <w:pPr>
              <w:numPr>
                <w:ilvl w:val="1"/>
                <w:numId w:val="18"/>
              </w:numPr>
              <w:rPr>
                <w:lang w:val="en-GB"/>
              </w:rPr>
            </w:pPr>
            <w:r w:rsidRPr="00092349">
              <w:rPr>
                <w:lang w:val="en-GB"/>
              </w:rPr>
              <w:t>Option 2: Do not to introduce TDLC300-100 fading channel with frequency offset of 400Hz requirements for long preamble formats for HST requirements.</w:t>
            </w:r>
          </w:p>
          <w:p w14:paraId="3894A6CE" w14:textId="77777777" w:rsidR="00092349" w:rsidRPr="00092349" w:rsidRDefault="00092349" w:rsidP="00092349">
            <w:pPr>
              <w:numPr>
                <w:ilvl w:val="1"/>
                <w:numId w:val="18"/>
              </w:numPr>
              <w:rPr>
                <w:lang w:val="en-GB"/>
              </w:rPr>
            </w:pPr>
            <w:r w:rsidRPr="00092349">
              <w:rPr>
                <w:lang w:val="en-GB"/>
              </w:rPr>
              <w:t>Option 3: Introduce TDLC300-100 for PRACH restricted set type A and B.</w:t>
            </w:r>
          </w:p>
          <w:p w14:paraId="52744B7D" w14:textId="76F2DE02" w:rsidR="00092349" w:rsidRPr="00092349" w:rsidRDefault="00092349" w:rsidP="00092349">
            <w:pPr>
              <w:numPr>
                <w:ilvl w:val="1"/>
                <w:numId w:val="18"/>
              </w:numPr>
              <w:rPr>
                <w:lang w:val="en-GB"/>
              </w:rPr>
            </w:pPr>
            <w:r w:rsidRPr="00092349">
              <w:rPr>
                <w:lang w:val="en-GB"/>
              </w:rPr>
              <w:t>Option 4: Introduce TDLC300-100 fading channel with frequency offset of 400Hz requirements for long preamble 0 restricted set type A and B in non-HST sections.</w:t>
            </w:r>
          </w:p>
        </w:tc>
      </w:tr>
    </w:tbl>
    <w:p w14:paraId="35E7EF91" w14:textId="5E3BE4B1" w:rsidR="00092349" w:rsidRDefault="00092349" w:rsidP="00092349">
      <w:pPr>
        <w:rPr>
          <w:lang w:val="en-GB"/>
        </w:rPr>
      </w:pPr>
    </w:p>
    <w:p w14:paraId="66BD483A" w14:textId="39008C1F" w:rsidR="00092349" w:rsidRDefault="00092349" w:rsidP="00092349">
      <w:pPr>
        <w:rPr>
          <w:lang w:val="en-GB"/>
        </w:rPr>
      </w:pPr>
      <w:r>
        <w:rPr>
          <w:lang w:val="en-GB"/>
        </w:rPr>
        <w:t>Here is an aggregation of long PRACH simulation results provided by Nokia in the previous meetings (NR_newRAT and NR_HST)</w:t>
      </w:r>
      <w:r w:rsidR="00F60DF2">
        <w:rPr>
          <w:lang w:val="en-GB"/>
        </w:rPr>
        <w:t xml:space="preserve">, </w:t>
      </w:r>
      <w:r w:rsidR="00F60DF2" w:rsidRPr="00785038">
        <w:rPr>
          <w:lang w:val="en-GB"/>
        </w:rPr>
        <w:t>along with some additional simulations</w:t>
      </w:r>
      <w:r>
        <w:rPr>
          <w:lang w:val="en-GB"/>
        </w:rPr>
        <w:t>:</w:t>
      </w:r>
    </w:p>
    <w:p w14:paraId="695B960B" w14:textId="2F8CD93E" w:rsidR="0020140B" w:rsidRPr="002E5BA7" w:rsidRDefault="0020140B" w:rsidP="0020140B">
      <w:pPr>
        <w:pStyle w:val="Caption"/>
        <w:keepNext/>
      </w:pPr>
      <w:bookmarkStart w:id="4" w:name="_Ref47361743"/>
      <w:r>
        <w:lastRenderedPageBreak/>
        <w:t xml:space="preserve">Table </w:t>
      </w:r>
      <w:r>
        <w:rPr>
          <w:noProof/>
        </w:rPr>
        <w:fldChar w:fldCharType="begin"/>
      </w:r>
      <w:r>
        <w:rPr>
          <w:noProof/>
        </w:rPr>
        <w:instrText xml:space="preserve"> SEQ Table \* ARABIC </w:instrText>
      </w:r>
      <w:r>
        <w:rPr>
          <w:noProof/>
        </w:rPr>
        <w:fldChar w:fldCharType="separate"/>
      </w:r>
      <w:r w:rsidR="000F03B3">
        <w:rPr>
          <w:noProof/>
        </w:rPr>
        <w:t>1</w:t>
      </w:r>
      <w:r>
        <w:rPr>
          <w:noProof/>
        </w:rPr>
        <w:fldChar w:fldCharType="end"/>
      </w:r>
      <w:bookmarkEnd w:id="4"/>
      <w:r>
        <w:t>: Aggregation of prior</w:t>
      </w:r>
      <w:r w:rsidR="00F60DF2">
        <w:t xml:space="preserve"> </w:t>
      </w:r>
      <w:r w:rsidR="00F60DF2" w:rsidRPr="00F60DF2">
        <w:t>and new</w:t>
      </w:r>
      <w:r>
        <w:t xml:space="preserve"> results from Nokia.</w:t>
      </w:r>
    </w:p>
    <w:tbl>
      <w:tblPr>
        <w:tblW w:w="5000" w:type="pct"/>
        <w:jc w:val="center"/>
        <w:tblLook w:val="04A0" w:firstRow="1" w:lastRow="0" w:firstColumn="1" w:lastColumn="0" w:noHBand="0" w:noVBand="1"/>
      </w:tblPr>
      <w:tblGrid>
        <w:gridCol w:w="977"/>
        <w:gridCol w:w="581"/>
        <w:gridCol w:w="1318"/>
        <w:gridCol w:w="527"/>
        <w:gridCol w:w="681"/>
        <w:gridCol w:w="493"/>
        <w:gridCol w:w="748"/>
        <w:gridCol w:w="494"/>
        <w:gridCol w:w="1468"/>
        <w:gridCol w:w="592"/>
        <w:gridCol w:w="1002"/>
        <w:gridCol w:w="736"/>
      </w:tblGrid>
      <w:tr w:rsidR="0020140B" w14:paraId="494978BC" w14:textId="77777777" w:rsidTr="00785038">
        <w:trPr>
          <w:trHeight w:val="8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0F58B15B" w14:textId="77777777" w:rsidR="0020140B" w:rsidRDefault="0020140B">
            <w:pPr>
              <w:jc w:val="center"/>
              <w:rPr>
                <w:rFonts w:eastAsia="Times New Roman" w:cs="Times New Roman"/>
                <w:b/>
                <w:bCs/>
                <w:color w:val="000000"/>
                <w:lang w:eastAsia="en-GB"/>
              </w:rPr>
            </w:pPr>
            <w:r>
              <w:rPr>
                <w:rFonts w:eastAsia="Times New Roman" w:cs="Times New Roman"/>
                <w:b/>
                <w:bCs/>
                <w:color w:val="000000"/>
                <w:lang w:eastAsia="en-GB"/>
              </w:rPr>
              <w:t>Format</w:t>
            </w:r>
          </w:p>
        </w:tc>
        <w:tc>
          <w:tcPr>
            <w:tcW w:w="580" w:type="dxa"/>
            <w:tcBorders>
              <w:top w:val="single" w:sz="4" w:space="0" w:color="auto"/>
              <w:left w:val="nil"/>
              <w:bottom w:val="single" w:sz="4" w:space="0" w:color="auto"/>
              <w:right w:val="single" w:sz="4" w:space="0" w:color="auto"/>
            </w:tcBorders>
            <w:vAlign w:val="center"/>
            <w:hideMark/>
          </w:tcPr>
          <w:p w14:paraId="5898A914" w14:textId="77777777" w:rsidR="0020140B" w:rsidRDefault="0020140B">
            <w:pPr>
              <w:jc w:val="center"/>
              <w:rPr>
                <w:rFonts w:eastAsia="Times New Roman" w:cs="Times New Roman"/>
                <w:b/>
                <w:bCs/>
                <w:color w:val="000000"/>
                <w:lang w:eastAsia="en-GB"/>
              </w:rPr>
            </w:pPr>
            <w:r>
              <w:rPr>
                <w:rFonts w:eastAsia="Times New Roman" w:cs="Times New Roman"/>
                <w:b/>
                <w:bCs/>
                <w:color w:val="000000"/>
                <w:lang w:eastAsia="en-GB"/>
              </w:rPr>
              <w:t>SCS</w:t>
            </w:r>
          </w:p>
        </w:tc>
        <w:tc>
          <w:tcPr>
            <w:tcW w:w="1323" w:type="dxa"/>
            <w:tcBorders>
              <w:top w:val="single" w:sz="4" w:space="0" w:color="auto"/>
              <w:left w:val="nil"/>
              <w:bottom w:val="single" w:sz="4" w:space="0" w:color="auto"/>
              <w:right w:val="single" w:sz="4" w:space="0" w:color="auto"/>
            </w:tcBorders>
            <w:vAlign w:val="center"/>
            <w:hideMark/>
          </w:tcPr>
          <w:p w14:paraId="739B46DE" w14:textId="77777777" w:rsidR="0020140B" w:rsidRDefault="0020140B">
            <w:pPr>
              <w:jc w:val="center"/>
              <w:rPr>
                <w:rFonts w:eastAsia="Times New Roman" w:cs="Times New Roman"/>
                <w:b/>
                <w:bCs/>
                <w:color w:val="000000"/>
                <w:lang w:eastAsia="en-GB"/>
              </w:rPr>
            </w:pPr>
            <w:r>
              <w:rPr>
                <w:rFonts w:eastAsia="Times New Roman" w:cs="Times New Roman"/>
                <w:b/>
                <w:bCs/>
                <w:color w:val="000000"/>
                <w:lang w:eastAsia="en-GB"/>
              </w:rPr>
              <w:t>Restricted set type</w:t>
            </w:r>
          </w:p>
        </w:tc>
        <w:tc>
          <w:tcPr>
            <w:tcW w:w="525" w:type="dxa"/>
            <w:tcBorders>
              <w:top w:val="single" w:sz="4" w:space="0" w:color="auto"/>
              <w:left w:val="nil"/>
              <w:bottom w:val="single" w:sz="4" w:space="0" w:color="auto"/>
              <w:right w:val="single" w:sz="4" w:space="0" w:color="auto"/>
            </w:tcBorders>
            <w:vAlign w:val="center"/>
            <w:hideMark/>
          </w:tcPr>
          <w:p w14:paraId="26FAB45A" w14:textId="77777777" w:rsidR="0020140B" w:rsidRDefault="0020140B">
            <w:pPr>
              <w:jc w:val="center"/>
              <w:rPr>
                <w:rFonts w:eastAsia="Times New Roman" w:cs="Times New Roman"/>
                <w:b/>
                <w:bCs/>
                <w:color w:val="000000"/>
                <w:lang w:eastAsia="en-GB"/>
              </w:rPr>
            </w:pPr>
            <w:proofErr w:type="spellStart"/>
            <w:r>
              <w:rPr>
                <w:rFonts w:eastAsia="Times New Roman" w:cs="Times New Roman"/>
                <w:b/>
                <w:bCs/>
                <w:color w:val="000000"/>
                <w:lang w:eastAsia="en-GB"/>
              </w:rPr>
              <w:t>Ncs</w:t>
            </w:r>
            <w:proofErr w:type="spellEnd"/>
          </w:p>
        </w:tc>
        <w:tc>
          <w:tcPr>
            <w:tcW w:w="679" w:type="dxa"/>
            <w:tcBorders>
              <w:top w:val="single" w:sz="4" w:space="0" w:color="auto"/>
              <w:left w:val="nil"/>
              <w:bottom w:val="single" w:sz="4" w:space="0" w:color="auto"/>
              <w:right w:val="single" w:sz="4" w:space="0" w:color="auto"/>
            </w:tcBorders>
            <w:vAlign w:val="center"/>
            <w:hideMark/>
          </w:tcPr>
          <w:p w14:paraId="7AE5A45A" w14:textId="04504085" w:rsidR="0020140B" w:rsidRDefault="0020140B">
            <w:pPr>
              <w:jc w:val="center"/>
              <w:rPr>
                <w:rFonts w:eastAsia="Times New Roman" w:cs="Times New Roman"/>
                <w:b/>
                <w:bCs/>
                <w:color w:val="000000"/>
                <w:lang w:eastAsia="en-GB"/>
              </w:rPr>
            </w:pPr>
            <w:r>
              <w:rPr>
                <w:rFonts w:eastAsia="Times New Roman" w:cs="Times New Roman"/>
                <w:b/>
                <w:bCs/>
                <w:color w:val="000000"/>
                <w:lang w:eastAsia="en-GB"/>
              </w:rPr>
              <w:t>Log seq index</w:t>
            </w:r>
          </w:p>
        </w:tc>
        <w:tc>
          <w:tcPr>
            <w:tcW w:w="494" w:type="dxa"/>
            <w:tcBorders>
              <w:top w:val="single" w:sz="4" w:space="0" w:color="auto"/>
              <w:left w:val="nil"/>
              <w:bottom w:val="single" w:sz="4" w:space="0" w:color="auto"/>
              <w:right w:val="single" w:sz="4" w:space="0" w:color="auto"/>
            </w:tcBorders>
            <w:vAlign w:val="center"/>
            <w:hideMark/>
          </w:tcPr>
          <w:p w14:paraId="56DF11B9" w14:textId="77777777" w:rsidR="0020140B" w:rsidRDefault="0020140B">
            <w:pPr>
              <w:jc w:val="center"/>
              <w:rPr>
                <w:rFonts w:eastAsia="Times New Roman" w:cs="Times New Roman"/>
                <w:b/>
                <w:bCs/>
                <w:color w:val="000000"/>
                <w:lang w:eastAsia="en-GB"/>
              </w:rPr>
            </w:pPr>
            <w:r>
              <w:rPr>
                <w:rFonts w:eastAsia="Times New Roman" w:cs="Times New Roman"/>
                <w:b/>
                <w:bCs/>
                <w:color w:val="000000"/>
                <w:lang w:eastAsia="en-GB"/>
              </w:rPr>
              <w:t>v</w:t>
            </w:r>
          </w:p>
        </w:tc>
        <w:tc>
          <w:tcPr>
            <w:tcW w:w="745" w:type="dxa"/>
            <w:tcBorders>
              <w:top w:val="single" w:sz="4" w:space="0" w:color="auto"/>
              <w:left w:val="nil"/>
              <w:bottom w:val="single" w:sz="4" w:space="0" w:color="auto"/>
              <w:right w:val="single" w:sz="4" w:space="0" w:color="auto"/>
            </w:tcBorders>
            <w:vAlign w:val="center"/>
            <w:hideMark/>
          </w:tcPr>
          <w:p w14:paraId="46B7B7F4" w14:textId="77777777" w:rsidR="0020140B" w:rsidRDefault="0020140B">
            <w:pPr>
              <w:jc w:val="center"/>
              <w:rPr>
                <w:rFonts w:eastAsia="Times New Roman" w:cs="Times New Roman"/>
                <w:b/>
                <w:bCs/>
                <w:color w:val="000000"/>
                <w:lang w:eastAsia="en-GB"/>
              </w:rPr>
            </w:pPr>
            <w:r>
              <w:rPr>
                <w:rFonts w:eastAsia="Times New Roman" w:cs="Times New Roman"/>
                <w:b/>
                <w:bCs/>
                <w:color w:val="000000"/>
                <w:lang w:eastAsia="en-GB"/>
              </w:rPr>
              <w:t>Tx/Rx</w:t>
            </w:r>
          </w:p>
        </w:tc>
        <w:tc>
          <w:tcPr>
            <w:tcW w:w="495" w:type="dxa"/>
            <w:tcBorders>
              <w:top w:val="single" w:sz="4" w:space="0" w:color="auto"/>
              <w:left w:val="nil"/>
              <w:bottom w:val="single" w:sz="4" w:space="0" w:color="auto"/>
              <w:right w:val="single" w:sz="4" w:space="0" w:color="auto"/>
            </w:tcBorders>
            <w:vAlign w:val="center"/>
            <w:hideMark/>
          </w:tcPr>
          <w:p w14:paraId="1118EC00" w14:textId="2F028017" w:rsidR="0020140B" w:rsidRDefault="0020140B">
            <w:pPr>
              <w:jc w:val="center"/>
              <w:rPr>
                <w:rFonts w:eastAsia="Times New Roman" w:cs="Times New Roman"/>
                <w:b/>
                <w:bCs/>
                <w:color w:val="000000"/>
                <w:lang w:eastAsia="en-GB"/>
              </w:rPr>
            </w:pPr>
            <w:r>
              <w:rPr>
                <w:rFonts w:eastAsia="Times New Roman" w:cs="Times New Roman"/>
                <w:b/>
                <w:bCs/>
                <w:color w:val="000000"/>
                <w:lang w:eastAsia="en-GB"/>
              </w:rPr>
              <w:t>fc</w:t>
            </w:r>
          </w:p>
        </w:tc>
        <w:tc>
          <w:tcPr>
            <w:tcW w:w="1474" w:type="dxa"/>
            <w:tcBorders>
              <w:top w:val="single" w:sz="4" w:space="0" w:color="auto"/>
              <w:left w:val="nil"/>
              <w:bottom w:val="single" w:sz="4" w:space="0" w:color="auto"/>
              <w:right w:val="single" w:sz="4" w:space="0" w:color="auto"/>
            </w:tcBorders>
            <w:vAlign w:val="center"/>
            <w:hideMark/>
          </w:tcPr>
          <w:p w14:paraId="0422861C" w14:textId="77777777" w:rsidR="0020140B" w:rsidRDefault="0020140B">
            <w:pPr>
              <w:jc w:val="center"/>
              <w:rPr>
                <w:rFonts w:eastAsia="Times New Roman" w:cs="Times New Roman"/>
                <w:b/>
                <w:bCs/>
                <w:szCs w:val="20"/>
                <w:lang w:eastAsia="en-GB"/>
              </w:rPr>
            </w:pPr>
            <w:r>
              <w:rPr>
                <w:rFonts w:eastAsia="Times New Roman" w:cs="Times New Roman"/>
                <w:b/>
                <w:bCs/>
                <w:szCs w:val="20"/>
                <w:lang w:eastAsia="en-GB"/>
              </w:rPr>
              <w:t>Propagation condition</w:t>
            </w:r>
          </w:p>
        </w:tc>
        <w:tc>
          <w:tcPr>
            <w:tcW w:w="590" w:type="dxa"/>
            <w:tcBorders>
              <w:top w:val="single" w:sz="4" w:space="0" w:color="auto"/>
              <w:left w:val="nil"/>
              <w:bottom w:val="single" w:sz="4" w:space="0" w:color="auto"/>
              <w:right w:val="single" w:sz="4" w:space="0" w:color="auto"/>
            </w:tcBorders>
            <w:vAlign w:val="center"/>
            <w:hideMark/>
          </w:tcPr>
          <w:p w14:paraId="3B7F85F0" w14:textId="2CCE11E4" w:rsidR="0020140B" w:rsidRDefault="0020140B">
            <w:pPr>
              <w:jc w:val="center"/>
              <w:rPr>
                <w:rFonts w:eastAsia="Times New Roman" w:cs="Times New Roman"/>
                <w:b/>
                <w:bCs/>
                <w:szCs w:val="20"/>
                <w:lang w:eastAsia="en-GB"/>
              </w:rPr>
            </w:pPr>
            <w:r>
              <w:rPr>
                <w:rFonts w:eastAsia="Times New Roman" w:cs="Times New Roman"/>
                <w:b/>
                <w:bCs/>
                <w:szCs w:val="20"/>
                <w:lang w:eastAsia="en-GB"/>
              </w:rPr>
              <w:t>FO (Hz)</w:t>
            </w:r>
          </w:p>
        </w:tc>
        <w:tc>
          <w:tcPr>
            <w:tcW w:w="998" w:type="dxa"/>
            <w:tcBorders>
              <w:top w:val="single" w:sz="4" w:space="0" w:color="auto"/>
              <w:left w:val="nil"/>
              <w:bottom w:val="single" w:sz="4" w:space="0" w:color="auto"/>
              <w:right w:val="single" w:sz="4" w:space="0" w:color="auto"/>
            </w:tcBorders>
            <w:vAlign w:val="center"/>
            <w:hideMark/>
          </w:tcPr>
          <w:p w14:paraId="264210A5" w14:textId="77777777" w:rsidR="0020140B" w:rsidRDefault="0020140B">
            <w:pPr>
              <w:jc w:val="center"/>
              <w:rPr>
                <w:rFonts w:eastAsia="Times New Roman" w:cs="Times New Roman"/>
                <w:b/>
                <w:bCs/>
                <w:szCs w:val="20"/>
                <w:lang w:eastAsia="en-GB"/>
              </w:rPr>
            </w:pPr>
            <w:r>
              <w:rPr>
                <w:rFonts w:eastAsia="Times New Roman" w:cs="Times New Roman"/>
                <w:b/>
                <w:bCs/>
                <w:szCs w:val="20"/>
                <w:lang w:eastAsia="en-GB"/>
              </w:rPr>
              <w:t>Timing error tolerance</w:t>
            </w:r>
          </w:p>
        </w:tc>
        <w:tc>
          <w:tcPr>
            <w:tcW w:w="733" w:type="dxa"/>
            <w:tcBorders>
              <w:top w:val="single" w:sz="4" w:space="0" w:color="auto"/>
              <w:left w:val="nil"/>
              <w:bottom w:val="single" w:sz="4" w:space="0" w:color="auto"/>
              <w:right w:val="single" w:sz="4" w:space="0" w:color="auto"/>
            </w:tcBorders>
            <w:vAlign w:val="center"/>
            <w:hideMark/>
          </w:tcPr>
          <w:p w14:paraId="4F855638" w14:textId="77777777" w:rsidR="0020140B" w:rsidRDefault="0020140B">
            <w:pPr>
              <w:jc w:val="center"/>
              <w:rPr>
                <w:rFonts w:eastAsia="Times New Roman" w:cs="Times New Roman"/>
                <w:szCs w:val="20"/>
                <w:lang w:eastAsia="en-GB"/>
              </w:rPr>
            </w:pPr>
            <w:r>
              <w:rPr>
                <w:rFonts w:eastAsia="Times New Roman" w:cs="Times New Roman"/>
                <w:szCs w:val="20"/>
                <w:lang w:eastAsia="en-GB"/>
              </w:rPr>
              <w:t>SNR (ideal)</w:t>
            </w:r>
          </w:p>
        </w:tc>
      </w:tr>
      <w:tr w:rsidR="0020140B" w14:paraId="19635E4A" w14:textId="77777777" w:rsidTr="00785038">
        <w:trPr>
          <w:trHeight w:val="300"/>
          <w:jc w:val="center"/>
        </w:trPr>
        <w:tc>
          <w:tcPr>
            <w:tcW w:w="981" w:type="dxa"/>
            <w:tcBorders>
              <w:top w:val="nil"/>
              <w:left w:val="single" w:sz="4" w:space="0" w:color="auto"/>
              <w:bottom w:val="single" w:sz="4" w:space="0" w:color="auto"/>
              <w:right w:val="single" w:sz="4" w:space="0" w:color="auto"/>
            </w:tcBorders>
            <w:noWrap/>
            <w:vAlign w:val="center"/>
            <w:hideMark/>
          </w:tcPr>
          <w:p w14:paraId="22A9AEB2" w14:textId="77777777" w:rsidR="0020140B" w:rsidRDefault="0020140B">
            <w:pPr>
              <w:jc w:val="center"/>
              <w:rPr>
                <w:rFonts w:eastAsia="Times New Roman" w:cs="Times New Roman"/>
                <w:szCs w:val="20"/>
                <w:lang w:eastAsia="en-GB"/>
              </w:rPr>
            </w:pPr>
            <w:r>
              <w:rPr>
                <w:rFonts w:eastAsia="Times New Roman" w:cs="Times New Roman"/>
                <w:szCs w:val="20"/>
                <w:lang w:eastAsia="en-GB"/>
              </w:rPr>
              <w:t>Format 0</w:t>
            </w:r>
          </w:p>
        </w:tc>
        <w:tc>
          <w:tcPr>
            <w:tcW w:w="580" w:type="dxa"/>
            <w:tcBorders>
              <w:top w:val="nil"/>
              <w:left w:val="nil"/>
              <w:bottom w:val="single" w:sz="4" w:space="0" w:color="auto"/>
              <w:right w:val="single" w:sz="4" w:space="0" w:color="auto"/>
            </w:tcBorders>
            <w:noWrap/>
            <w:vAlign w:val="center"/>
            <w:hideMark/>
          </w:tcPr>
          <w:p w14:paraId="629FB9CE" w14:textId="61375CF7" w:rsidR="0020140B" w:rsidRDefault="0020140B">
            <w:pPr>
              <w:jc w:val="center"/>
              <w:rPr>
                <w:rFonts w:eastAsia="Times New Roman" w:cs="Times New Roman"/>
                <w:szCs w:val="20"/>
                <w:lang w:eastAsia="en-GB"/>
              </w:rPr>
            </w:pPr>
            <w:r>
              <w:rPr>
                <w:rFonts w:eastAsia="Times New Roman" w:cs="Times New Roman"/>
                <w:szCs w:val="20"/>
                <w:lang w:eastAsia="en-GB"/>
              </w:rPr>
              <w:t>1.25 kHz</w:t>
            </w:r>
          </w:p>
        </w:tc>
        <w:tc>
          <w:tcPr>
            <w:tcW w:w="1323" w:type="dxa"/>
            <w:tcBorders>
              <w:top w:val="nil"/>
              <w:left w:val="nil"/>
              <w:bottom w:val="single" w:sz="4" w:space="0" w:color="auto"/>
              <w:right w:val="single" w:sz="4" w:space="0" w:color="auto"/>
            </w:tcBorders>
            <w:noWrap/>
            <w:vAlign w:val="center"/>
            <w:hideMark/>
          </w:tcPr>
          <w:p w14:paraId="24A7F731" w14:textId="77777777" w:rsidR="0020140B" w:rsidRDefault="0020140B">
            <w:pPr>
              <w:jc w:val="center"/>
              <w:rPr>
                <w:rFonts w:eastAsia="Times New Roman" w:cs="Times New Roman"/>
                <w:szCs w:val="20"/>
                <w:lang w:eastAsia="en-GB"/>
              </w:rPr>
            </w:pPr>
            <w:r>
              <w:rPr>
                <w:rFonts w:eastAsia="Times New Roman" w:cs="Times New Roman"/>
                <w:szCs w:val="20"/>
                <w:lang w:eastAsia="en-GB"/>
              </w:rPr>
              <w:t>Type A</w:t>
            </w:r>
          </w:p>
        </w:tc>
        <w:tc>
          <w:tcPr>
            <w:tcW w:w="525" w:type="dxa"/>
            <w:tcBorders>
              <w:top w:val="nil"/>
              <w:left w:val="nil"/>
              <w:bottom w:val="single" w:sz="4" w:space="0" w:color="auto"/>
              <w:right w:val="single" w:sz="4" w:space="0" w:color="auto"/>
            </w:tcBorders>
            <w:noWrap/>
            <w:vAlign w:val="center"/>
            <w:hideMark/>
          </w:tcPr>
          <w:p w14:paraId="5AC2E718" w14:textId="77777777" w:rsidR="0020140B" w:rsidRDefault="0020140B">
            <w:pPr>
              <w:jc w:val="center"/>
              <w:rPr>
                <w:rFonts w:eastAsia="Times New Roman" w:cs="Times New Roman"/>
                <w:szCs w:val="20"/>
                <w:lang w:eastAsia="en-GB"/>
              </w:rPr>
            </w:pPr>
            <w:r>
              <w:rPr>
                <w:rFonts w:eastAsia="Times New Roman" w:cs="Times New Roman"/>
                <w:szCs w:val="20"/>
                <w:lang w:eastAsia="en-GB"/>
              </w:rPr>
              <w:t>15</w:t>
            </w:r>
          </w:p>
        </w:tc>
        <w:tc>
          <w:tcPr>
            <w:tcW w:w="679" w:type="dxa"/>
            <w:tcBorders>
              <w:top w:val="nil"/>
              <w:left w:val="nil"/>
              <w:bottom w:val="single" w:sz="4" w:space="0" w:color="auto"/>
              <w:right w:val="single" w:sz="4" w:space="0" w:color="auto"/>
            </w:tcBorders>
            <w:noWrap/>
            <w:vAlign w:val="center"/>
            <w:hideMark/>
          </w:tcPr>
          <w:p w14:paraId="02286AD3" w14:textId="77777777" w:rsidR="0020140B" w:rsidRDefault="0020140B">
            <w:pPr>
              <w:jc w:val="center"/>
              <w:rPr>
                <w:rFonts w:eastAsia="Times New Roman" w:cs="Times New Roman"/>
                <w:szCs w:val="20"/>
                <w:lang w:eastAsia="en-GB"/>
              </w:rPr>
            </w:pPr>
            <w:r>
              <w:rPr>
                <w:rFonts w:eastAsia="Times New Roman" w:cs="Times New Roman"/>
                <w:szCs w:val="20"/>
                <w:lang w:eastAsia="en-GB"/>
              </w:rPr>
              <w:t>384</w:t>
            </w:r>
          </w:p>
        </w:tc>
        <w:tc>
          <w:tcPr>
            <w:tcW w:w="494" w:type="dxa"/>
            <w:tcBorders>
              <w:top w:val="nil"/>
              <w:left w:val="nil"/>
              <w:bottom w:val="single" w:sz="4" w:space="0" w:color="auto"/>
              <w:right w:val="single" w:sz="4" w:space="0" w:color="auto"/>
            </w:tcBorders>
            <w:noWrap/>
            <w:vAlign w:val="center"/>
            <w:hideMark/>
          </w:tcPr>
          <w:p w14:paraId="6396D1BB" w14:textId="77777777" w:rsidR="0020140B" w:rsidRDefault="0020140B">
            <w:pPr>
              <w:jc w:val="center"/>
              <w:rPr>
                <w:rFonts w:eastAsia="Times New Roman" w:cs="Times New Roman"/>
                <w:szCs w:val="20"/>
                <w:lang w:eastAsia="en-GB"/>
              </w:rPr>
            </w:pPr>
            <w:r>
              <w:rPr>
                <w:rFonts w:eastAsia="Times New Roman" w:cs="Times New Roman"/>
                <w:szCs w:val="20"/>
                <w:lang w:eastAsia="en-GB"/>
              </w:rPr>
              <w:t>0</w:t>
            </w:r>
          </w:p>
        </w:tc>
        <w:tc>
          <w:tcPr>
            <w:tcW w:w="745" w:type="dxa"/>
            <w:tcBorders>
              <w:top w:val="nil"/>
              <w:left w:val="nil"/>
              <w:bottom w:val="single" w:sz="4" w:space="0" w:color="auto"/>
              <w:right w:val="single" w:sz="4" w:space="0" w:color="auto"/>
            </w:tcBorders>
            <w:noWrap/>
            <w:vAlign w:val="center"/>
            <w:hideMark/>
          </w:tcPr>
          <w:p w14:paraId="2BF8CBCD" w14:textId="77777777" w:rsidR="0020140B" w:rsidRDefault="0020140B">
            <w:pPr>
              <w:jc w:val="center"/>
              <w:rPr>
                <w:rFonts w:eastAsia="Times New Roman" w:cs="Times New Roman"/>
                <w:szCs w:val="20"/>
                <w:lang w:eastAsia="en-GB"/>
              </w:rPr>
            </w:pPr>
            <w:r>
              <w:rPr>
                <w:rFonts w:eastAsia="Times New Roman" w:cs="Times New Roman"/>
                <w:szCs w:val="20"/>
                <w:lang w:eastAsia="en-GB"/>
              </w:rPr>
              <w:t>1T2R</w:t>
            </w:r>
          </w:p>
        </w:tc>
        <w:tc>
          <w:tcPr>
            <w:tcW w:w="495" w:type="dxa"/>
            <w:tcBorders>
              <w:top w:val="nil"/>
              <w:left w:val="nil"/>
              <w:bottom w:val="single" w:sz="4" w:space="0" w:color="auto"/>
              <w:right w:val="single" w:sz="4" w:space="0" w:color="auto"/>
            </w:tcBorders>
            <w:noWrap/>
            <w:vAlign w:val="center"/>
            <w:hideMark/>
          </w:tcPr>
          <w:p w14:paraId="02AF524A" w14:textId="77777777" w:rsidR="0020140B" w:rsidRDefault="0020140B">
            <w:pPr>
              <w:jc w:val="center"/>
              <w:rPr>
                <w:rFonts w:eastAsia="Times New Roman" w:cs="Times New Roman"/>
                <w:szCs w:val="20"/>
                <w:lang w:eastAsia="en-GB"/>
              </w:rPr>
            </w:pPr>
            <w:r>
              <w:rPr>
                <w:rFonts w:eastAsia="Times New Roman" w:cs="Times New Roman"/>
                <w:szCs w:val="20"/>
                <w:lang w:eastAsia="en-GB"/>
              </w:rPr>
              <w:t>2.1</w:t>
            </w:r>
          </w:p>
        </w:tc>
        <w:tc>
          <w:tcPr>
            <w:tcW w:w="1474" w:type="dxa"/>
            <w:tcBorders>
              <w:top w:val="nil"/>
              <w:left w:val="nil"/>
              <w:bottom w:val="single" w:sz="4" w:space="0" w:color="auto"/>
              <w:right w:val="single" w:sz="4" w:space="0" w:color="auto"/>
            </w:tcBorders>
            <w:noWrap/>
            <w:vAlign w:val="center"/>
            <w:hideMark/>
          </w:tcPr>
          <w:p w14:paraId="1AF49A0E" w14:textId="77777777" w:rsidR="0020140B" w:rsidRDefault="0020140B">
            <w:pPr>
              <w:jc w:val="center"/>
              <w:rPr>
                <w:rFonts w:eastAsia="Times New Roman" w:cs="Times New Roman"/>
                <w:szCs w:val="20"/>
                <w:lang w:eastAsia="en-GB"/>
              </w:rPr>
            </w:pPr>
            <w:r>
              <w:rPr>
                <w:rFonts w:eastAsia="Times New Roman" w:cs="Times New Roman"/>
                <w:szCs w:val="20"/>
                <w:lang w:eastAsia="en-GB"/>
              </w:rPr>
              <w:t>TDLC300-100</w:t>
            </w:r>
          </w:p>
        </w:tc>
        <w:tc>
          <w:tcPr>
            <w:tcW w:w="590" w:type="dxa"/>
            <w:tcBorders>
              <w:top w:val="nil"/>
              <w:left w:val="nil"/>
              <w:bottom w:val="single" w:sz="4" w:space="0" w:color="auto"/>
              <w:right w:val="single" w:sz="4" w:space="0" w:color="auto"/>
            </w:tcBorders>
            <w:noWrap/>
            <w:vAlign w:val="center"/>
            <w:hideMark/>
          </w:tcPr>
          <w:p w14:paraId="34C6D545" w14:textId="77777777" w:rsidR="0020140B" w:rsidRDefault="0020140B">
            <w:pPr>
              <w:jc w:val="center"/>
              <w:rPr>
                <w:rFonts w:eastAsia="Times New Roman" w:cs="Times New Roman"/>
                <w:szCs w:val="20"/>
                <w:lang w:eastAsia="en-GB"/>
              </w:rPr>
            </w:pPr>
            <w:r>
              <w:rPr>
                <w:rFonts w:eastAsia="Times New Roman" w:cs="Times New Roman"/>
                <w:szCs w:val="20"/>
                <w:lang w:eastAsia="en-GB"/>
              </w:rPr>
              <w:t>400</w:t>
            </w:r>
          </w:p>
        </w:tc>
        <w:tc>
          <w:tcPr>
            <w:tcW w:w="998" w:type="dxa"/>
            <w:tcBorders>
              <w:top w:val="nil"/>
              <w:left w:val="nil"/>
              <w:bottom w:val="single" w:sz="4" w:space="0" w:color="auto"/>
              <w:right w:val="single" w:sz="4" w:space="0" w:color="auto"/>
            </w:tcBorders>
            <w:noWrap/>
            <w:vAlign w:val="center"/>
            <w:hideMark/>
          </w:tcPr>
          <w:p w14:paraId="4AF07BCD" w14:textId="77777777" w:rsidR="0020140B" w:rsidRDefault="0020140B">
            <w:pPr>
              <w:jc w:val="center"/>
              <w:rPr>
                <w:rFonts w:eastAsia="Times New Roman" w:cs="Times New Roman"/>
                <w:szCs w:val="20"/>
                <w:lang w:eastAsia="en-GB"/>
              </w:rPr>
            </w:pPr>
            <w:r>
              <w:rPr>
                <w:rFonts w:eastAsia="Times New Roman" w:cs="Times New Roman"/>
                <w:szCs w:val="20"/>
                <w:lang w:eastAsia="en-GB"/>
              </w:rPr>
              <w:t>2.55us</w:t>
            </w:r>
          </w:p>
        </w:tc>
        <w:tc>
          <w:tcPr>
            <w:tcW w:w="733" w:type="dxa"/>
            <w:tcBorders>
              <w:top w:val="nil"/>
              <w:left w:val="nil"/>
              <w:bottom w:val="single" w:sz="4" w:space="0" w:color="auto"/>
              <w:right w:val="single" w:sz="4" w:space="0" w:color="auto"/>
            </w:tcBorders>
            <w:noWrap/>
            <w:vAlign w:val="center"/>
            <w:hideMark/>
          </w:tcPr>
          <w:p w14:paraId="06CA491C" w14:textId="77777777" w:rsidR="0020140B" w:rsidRDefault="0020140B">
            <w:pPr>
              <w:jc w:val="center"/>
              <w:rPr>
                <w:rFonts w:eastAsia="Times New Roman" w:cs="Times New Roman"/>
                <w:szCs w:val="20"/>
                <w:lang w:eastAsia="en-GB"/>
              </w:rPr>
            </w:pPr>
            <w:r>
              <w:rPr>
                <w:rFonts w:eastAsia="Times New Roman" w:cs="Times New Roman"/>
                <w:szCs w:val="20"/>
                <w:lang w:eastAsia="en-GB"/>
              </w:rPr>
              <w:t>-7.52</w:t>
            </w:r>
          </w:p>
        </w:tc>
      </w:tr>
      <w:tr w:rsidR="0020140B" w14:paraId="44D9A18A" w14:textId="77777777" w:rsidTr="00785038">
        <w:trPr>
          <w:trHeight w:val="300"/>
          <w:jc w:val="center"/>
        </w:trPr>
        <w:tc>
          <w:tcPr>
            <w:tcW w:w="981" w:type="dxa"/>
            <w:tcBorders>
              <w:top w:val="nil"/>
              <w:left w:val="single" w:sz="4" w:space="0" w:color="auto"/>
              <w:bottom w:val="single" w:sz="4" w:space="0" w:color="auto"/>
              <w:right w:val="single" w:sz="4" w:space="0" w:color="auto"/>
            </w:tcBorders>
            <w:noWrap/>
            <w:vAlign w:val="center"/>
            <w:hideMark/>
          </w:tcPr>
          <w:p w14:paraId="1424E951" w14:textId="77777777" w:rsidR="0020140B" w:rsidRDefault="0020140B">
            <w:pPr>
              <w:jc w:val="center"/>
              <w:rPr>
                <w:rFonts w:eastAsia="Times New Roman" w:cs="Times New Roman"/>
                <w:szCs w:val="20"/>
                <w:lang w:eastAsia="en-GB"/>
              </w:rPr>
            </w:pPr>
            <w:r>
              <w:rPr>
                <w:rFonts w:eastAsia="Times New Roman" w:cs="Times New Roman"/>
                <w:szCs w:val="20"/>
                <w:lang w:eastAsia="en-GB"/>
              </w:rPr>
              <w:t>Format 0</w:t>
            </w:r>
          </w:p>
        </w:tc>
        <w:tc>
          <w:tcPr>
            <w:tcW w:w="580" w:type="dxa"/>
            <w:tcBorders>
              <w:top w:val="nil"/>
              <w:left w:val="nil"/>
              <w:bottom w:val="single" w:sz="4" w:space="0" w:color="auto"/>
              <w:right w:val="single" w:sz="4" w:space="0" w:color="auto"/>
            </w:tcBorders>
            <w:noWrap/>
            <w:vAlign w:val="center"/>
            <w:hideMark/>
          </w:tcPr>
          <w:p w14:paraId="67179740" w14:textId="23F6696B" w:rsidR="0020140B" w:rsidRDefault="0020140B">
            <w:pPr>
              <w:jc w:val="center"/>
              <w:rPr>
                <w:rFonts w:eastAsia="Times New Roman" w:cs="Times New Roman"/>
                <w:szCs w:val="20"/>
                <w:lang w:eastAsia="en-GB"/>
              </w:rPr>
            </w:pPr>
            <w:r>
              <w:rPr>
                <w:rFonts w:eastAsia="Times New Roman" w:cs="Times New Roman"/>
                <w:szCs w:val="20"/>
                <w:lang w:eastAsia="en-GB"/>
              </w:rPr>
              <w:t>1.25 kHz</w:t>
            </w:r>
          </w:p>
        </w:tc>
        <w:tc>
          <w:tcPr>
            <w:tcW w:w="1323" w:type="dxa"/>
            <w:tcBorders>
              <w:top w:val="nil"/>
              <w:left w:val="nil"/>
              <w:bottom w:val="single" w:sz="4" w:space="0" w:color="auto"/>
              <w:right w:val="single" w:sz="4" w:space="0" w:color="auto"/>
            </w:tcBorders>
            <w:noWrap/>
            <w:vAlign w:val="center"/>
            <w:hideMark/>
          </w:tcPr>
          <w:p w14:paraId="0F124F64" w14:textId="77777777" w:rsidR="0020140B" w:rsidRDefault="0020140B">
            <w:pPr>
              <w:jc w:val="center"/>
              <w:rPr>
                <w:rFonts w:eastAsia="Times New Roman" w:cs="Times New Roman"/>
                <w:szCs w:val="20"/>
                <w:lang w:eastAsia="en-GB"/>
              </w:rPr>
            </w:pPr>
            <w:r>
              <w:rPr>
                <w:rFonts w:eastAsia="Times New Roman" w:cs="Times New Roman"/>
                <w:szCs w:val="20"/>
                <w:lang w:eastAsia="en-GB"/>
              </w:rPr>
              <w:t>Unrestricted</w:t>
            </w:r>
          </w:p>
        </w:tc>
        <w:tc>
          <w:tcPr>
            <w:tcW w:w="525" w:type="dxa"/>
            <w:tcBorders>
              <w:top w:val="nil"/>
              <w:left w:val="nil"/>
              <w:bottom w:val="single" w:sz="4" w:space="0" w:color="auto"/>
              <w:right w:val="single" w:sz="4" w:space="0" w:color="auto"/>
            </w:tcBorders>
            <w:noWrap/>
            <w:vAlign w:val="center"/>
            <w:hideMark/>
          </w:tcPr>
          <w:p w14:paraId="4C7C5A56" w14:textId="77777777" w:rsidR="0020140B" w:rsidRDefault="0020140B">
            <w:pPr>
              <w:jc w:val="center"/>
              <w:rPr>
                <w:rFonts w:eastAsia="Times New Roman" w:cs="Times New Roman"/>
                <w:szCs w:val="20"/>
                <w:lang w:eastAsia="en-GB"/>
              </w:rPr>
            </w:pPr>
            <w:r>
              <w:rPr>
                <w:rFonts w:eastAsia="Times New Roman" w:cs="Times New Roman"/>
                <w:szCs w:val="20"/>
                <w:lang w:eastAsia="en-GB"/>
              </w:rPr>
              <w:t>15</w:t>
            </w:r>
          </w:p>
        </w:tc>
        <w:tc>
          <w:tcPr>
            <w:tcW w:w="679" w:type="dxa"/>
            <w:tcBorders>
              <w:top w:val="nil"/>
              <w:left w:val="nil"/>
              <w:bottom w:val="single" w:sz="4" w:space="0" w:color="auto"/>
              <w:right w:val="single" w:sz="4" w:space="0" w:color="auto"/>
            </w:tcBorders>
            <w:noWrap/>
            <w:vAlign w:val="center"/>
            <w:hideMark/>
          </w:tcPr>
          <w:p w14:paraId="59A2791F" w14:textId="77777777" w:rsidR="0020140B" w:rsidRDefault="0020140B">
            <w:pPr>
              <w:jc w:val="center"/>
              <w:rPr>
                <w:rFonts w:eastAsia="Times New Roman" w:cs="Times New Roman"/>
                <w:szCs w:val="20"/>
                <w:lang w:eastAsia="en-GB"/>
              </w:rPr>
            </w:pPr>
            <w:r>
              <w:rPr>
                <w:rFonts w:eastAsia="Times New Roman" w:cs="Times New Roman"/>
                <w:szCs w:val="20"/>
                <w:lang w:eastAsia="en-GB"/>
              </w:rPr>
              <w:t>384</w:t>
            </w:r>
          </w:p>
        </w:tc>
        <w:tc>
          <w:tcPr>
            <w:tcW w:w="494" w:type="dxa"/>
            <w:tcBorders>
              <w:top w:val="nil"/>
              <w:left w:val="nil"/>
              <w:bottom w:val="single" w:sz="4" w:space="0" w:color="auto"/>
              <w:right w:val="single" w:sz="4" w:space="0" w:color="auto"/>
            </w:tcBorders>
            <w:noWrap/>
            <w:vAlign w:val="center"/>
            <w:hideMark/>
          </w:tcPr>
          <w:p w14:paraId="490D78F9" w14:textId="77777777" w:rsidR="0020140B" w:rsidRDefault="0020140B">
            <w:pPr>
              <w:jc w:val="center"/>
              <w:rPr>
                <w:rFonts w:eastAsia="Times New Roman" w:cs="Times New Roman"/>
                <w:szCs w:val="20"/>
                <w:lang w:eastAsia="en-GB"/>
              </w:rPr>
            </w:pPr>
            <w:r>
              <w:rPr>
                <w:rFonts w:eastAsia="Times New Roman" w:cs="Times New Roman"/>
                <w:szCs w:val="20"/>
                <w:lang w:eastAsia="en-GB"/>
              </w:rPr>
              <w:t>0</w:t>
            </w:r>
          </w:p>
        </w:tc>
        <w:tc>
          <w:tcPr>
            <w:tcW w:w="745" w:type="dxa"/>
            <w:tcBorders>
              <w:top w:val="nil"/>
              <w:left w:val="nil"/>
              <w:bottom w:val="single" w:sz="4" w:space="0" w:color="auto"/>
              <w:right w:val="single" w:sz="4" w:space="0" w:color="auto"/>
            </w:tcBorders>
            <w:noWrap/>
            <w:vAlign w:val="center"/>
            <w:hideMark/>
          </w:tcPr>
          <w:p w14:paraId="24E6B2B7" w14:textId="77777777" w:rsidR="0020140B" w:rsidRDefault="0020140B">
            <w:pPr>
              <w:jc w:val="center"/>
              <w:rPr>
                <w:rFonts w:eastAsia="Times New Roman" w:cs="Times New Roman"/>
                <w:szCs w:val="20"/>
                <w:lang w:eastAsia="en-GB"/>
              </w:rPr>
            </w:pPr>
            <w:r>
              <w:rPr>
                <w:rFonts w:eastAsia="Times New Roman" w:cs="Times New Roman"/>
                <w:szCs w:val="20"/>
                <w:lang w:eastAsia="en-GB"/>
              </w:rPr>
              <w:t>1T2R</w:t>
            </w:r>
          </w:p>
        </w:tc>
        <w:tc>
          <w:tcPr>
            <w:tcW w:w="495" w:type="dxa"/>
            <w:tcBorders>
              <w:top w:val="nil"/>
              <w:left w:val="nil"/>
              <w:bottom w:val="single" w:sz="4" w:space="0" w:color="auto"/>
              <w:right w:val="single" w:sz="4" w:space="0" w:color="auto"/>
            </w:tcBorders>
            <w:noWrap/>
            <w:vAlign w:val="center"/>
            <w:hideMark/>
          </w:tcPr>
          <w:p w14:paraId="4162CA2E" w14:textId="77777777" w:rsidR="0020140B" w:rsidRDefault="0020140B">
            <w:pPr>
              <w:jc w:val="center"/>
              <w:rPr>
                <w:rFonts w:eastAsia="Times New Roman" w:cs="Times New Roman"/>
                <w:szCs w:val="20"/>
                <w:lang w:eastAsia="en-GB"/>
              </w:rPr>
            </w:pPr>
            <w:r>
              <w:rPr>
                <w:rFonts w:eastAsia="Times New Roman" w:cs="Times New Roman"/>
                <w:szCs w:val="20"/>
                <w:lang w:eastAsia="en-GB"/>
              </w:rPr>
              <w:t>2.1</w:t>
            </w:r>
          </w:p>
        </w:tc>
        <w:tc>
          <w:tcPr>
            <w:tcW w:w="1474" w:type="dxa"/>
            <w:tcBorders>
              <w:top w:val="nil"/>
              <w:left w:val="nil"/>
              <w:bottom w:val="single" w:sz="4" w:space="0" w:color="auto"/>
              <w:right w:val="single" w:sz="4" w:space="0" w:color="auto"/>
            </w:tcBorders>
            <w:noWrap/>
            <w:vAlign w:val="center"/>
            <w:hideMark/>
          </w:tcPr>
          <w:p w14:paraId="05F32D4B" w14:textId="77777777" w:rsidR="0020140B" w:rsidRDefault="0020140B">
            <w:pPr>
              <w:jc w:val="center"/>
              <w:rPr>
                <w:rFonts w:eastAsia="Times New Roman" w:cs="Times New Roman"/>
                <w:szCs w:val="20"/>
                <w:lang w:eastAsia="en-GB"/>
              </w:rPr>
            </w:pPr>
            <w:r>
              <w:rPr>
                <w:rFonts w:eastAsia="Times New Roman" w:cs="Times New Roman"/>
                <w:szCs w:val="20"/>
                <w:lang w:eastAsia="en-GB"/>
              </w:rPr>
              <w:t>TDLC300-100</w:t>
            </w:r>
          </w:p>
        </w:tc>
        <w:tc>
          <w:tcPr>
            <w:tcW w:w="590" w:type="dxa"/>
            <w:tcBorders>
              <w:top w:val="nil"/>
              <w:left w:val="nil"/>
              <w:bottom w:val="single" w:sz="4" w:space="0" w:color="auto"/>
              <w:right w:val="single" w:sz="4" w:space="0" w:color="auto"/>
            </w:tcBorders>
            <w:noWrap/>
            <w:vAlign w:val="center"/>
            <w:hideMark/>
          </w:tcPr>
          <w:p w14:paraId="5D1D3CE8" w14:textId="77777777" w:rsidR="0020140B" w:rsidRDefault="0020140B">
            <w:pPr>
              <w:jc w:val="center"/>
              <w:rPr>
                <w:rFonts w:eastAsia="Times New Roman" w:cs="Times New Roman"/>
                <w:szCs w:val="20"/>
                <w:lang w:eastAsia="en-GB"/>
              </w:rPr>
            </w:pPr>
            <w:r>
              <w:rPr>
                <w:rFonts w:eastAsia="Times New Roman" w:cs="Times New Roman"/>
                <w:szCs w:val="20"/>
                <w:lang w:eastAsia="en-GB"/>
              </w:rPr>
              <w:t>400</w:t>
            </w:r>
          </w:p>
        </w:tc>
        <w:tc>
          <w:tcPr>
            <w:tcW w:w="998" w:type="dxa"/>
            <w:tcBorders>
              <w:top w:val="nil"/>
              <w:left w:val="nil"/>
              <w:bottom w:val="single" w:sz="4" w:space="0" w:color="auto"/>
              <w:right w:val="single" w:sz="4" w:space="0" w:color="auto"/>
            </w:tcBorders>
            <w:noWrap/>
            <w:vAlign w:val="center"/>
            <w:hideMark/>
          </w:tcPr>
          <w:p w14:paraId="45B685FE" w14:textId="77777777" w:rsidR="0020140B" w:rsidRDefault="0020140B">
            <w:pPr>
              <w:jc w:val="center"/>
              <w:rPr>
                <w:rFonts w:eastAsia="Times New Roman" w:cs="Times New Roman"/>
                <w:szCs w:val="20"/>
                <w:lang w:eastAsia="en-GB"/>
              </w:rPr>
            </w:pPr>
            <w:r>
              <w:rPr>
                <w:rFonts w:eastAsia="Times New Roman" w:cs="Times New Roman"/>
                <w:szCs w:val="20"/>
                <w:lang w:eastAsia="en-GB"/>
              </w:rPr>
              <w:t>2.55us</w:t>
            </w:r>
          </w:p>
        </w:tc>
        <w:tc>
          <w:tcPr>
            <w:tcW w:w="733" w:type="dxa"/>
            <w:tcBorders>
              <w:top w:val="nil"/>
              <w:left w:val="nil"/>
              <w:bottom w:val="single" w:sz="4" w:space="0" w:color="auto"/>
              <w:right w:val="single" w:sz="4" w:space="0" w:color="auto"/>
            </w:tcBorders>
            <w:noWrap/>
            <w:vAlign w:val="center"/>
            <w:hideMark/>
          </w:tcPr>
          <w:p w14:paraId="063F48D4" w14:textId="061915D8" w:rsidR="0020140B" w:rsidRDefault="002B2D5F">
            <w:pPr>
              <w:jc w:val="center"/>
              <w:rPr>
                <w:rFonts w:eastAsia="Times New Roman" w:cs="Times New Roman"/>
                <w:szCs w:val="20"/>
                <w:lang w:eastAsia="en-GB"/>
              </w:rPr>
            </w:pPr>
            <w:r>
              <w:rPr>
                <w:rFonts w:eastAsia="Times New Roman" w:cs="Times New Roman"/>
                <w:szCs w:val="20"/>
                <w:lang w:eastAsia="en-GB"/>
              </w:rPr>
              <w:t>-</w:t>
            </w:r>
            <w:r w:rsidR="00785038">
              <w:rPr>
                <w:rFonts w:eastAsia="Times New Roman" w:cs="Times New Roman"/>
                <w:szCs w:val="20"/>
                <w:lang w:eastAsia="en-GB"/>
              </w:rPr>
              <w:t>7</w:t>
            </w:r>
            <w:r>
              <w:rPr>
                <w:rFonts w:eastAsia="Times New Roman" w:cs="Times New Roman"/>
                <w:szCs w:val="20"/>
                <w:lang w:eastAsia="en-GB"/>
              </w:rPr>
              <w:t>.01</w:t>
            </w:r>
          </w:p>
        </w:tc>
      </w:tr>
      <w:tr w:rsidR="0020140B" w14:paraId="309085ED" w14:textId="77777777" w:rsidTr="00785038">
        <w:trPr>
          <w:trHeight w:val="300"/>
          <w:jc w:val="center"/>
        </w:trPr>
        <w:tc>
          <w:tcPr>
            <w:tcW w:w="981" w:type="dxa"/>
            <w:noWrap/>
            <w:vAlign w:val="bottom"/>
            <w:hideMark/>
          </w:tcPr>
          <w:p w14:paraId="21873D51" w14:textId="77777777" w:rsidR="0020140B" w:rsidRDefault="0020140B">
            <w:pPr>
              <w:rPr>
                <w:rFonts w:eastAsia="Times New Roman" w:cs="Times New Roman"/>
                <w:szCs w:val="20"/>
                <w:lang w:eastAsia="en-GB"/>
              </w:rPr>
            </w:pPr>
          </w:p>
        </w:tc>
        <w:tc>
          <w:tcPr>
            <w:tcW w:w="580" w:type="dxa"/>
            <w:noWrap/>
            <w:vAlign w:val="bottom"/>
            <w:hideMark/>
          </w:tcPr>
          <w:p w14:paraId="5C48157B" w14:textId="77777777" w:rsidR="0020140B" w:rsidRDefault="0020140B">
            <w:pPr>
              <w:rPr>
                <w:szCs w:val="20"/>
                <w:lang w:eastAsia="en-GB"/>
              </w:rPr>
            </w:pPr>
          </w:p>
        </w:tc>
        <w:tc>
          <w:tcPr>
            <w:tcW w:w="1323" w:type="dxa"/>
            <w:noWrap/>
            <w:vAlign w:val="bottom"/>
            <w:hideMark/>
          </w:tcPr>
          <w:p w14:paraId="546CED58" w14:textId="77777777" w:rsidR="0020140B" w:rsidRDefault="0020140B">
            <w:pPr>
              <w:rPr>
                <w:szCs w:val="20"/>
                <w:lang w:eastAsia="en-GB"/>
              </w:rPr>
            </w:pPr>
          </w:p>
        </w:tc>
        <w:tc>
          <w:tcPr>
            <w:tcW w:w="525" w:type="dxa"/>
            <w:noWrap/>
            <w:vAlign w:val="bottom"/>
            <w:hideMark/>
          </w:tcPr>
          <w:p w14:paraId="71DA24C1" w14:textId="77777777" w:rsidR="0020140B" w:rsidRDefault="0020140B">
            <w:pPr>
              <w:rPr>
                <w:szCs w:val="20"/>
                <w:lang w:eastAsia="en-GB"/>
              </w:rPr>
            </w:pPr>
          </w:p>
        </w:tc>
        <w:tc>
          <w:tcPr>
            <w:tcW w:w="679" w:type="dxa"/>
            <w:noWrap/>
            <w:vAlign w:val="bottom"/>
            <w:hideMark/>
          </w:tcPr>
          <w:p w14:paraId="58C0ED82" w14:textId="77777777" w:rsidR="0020140B" w:rsidRDefault="0020140B">
            <w:pPr>
              <w:rPr>
                <w:szCs w:val="20"/>
                <w:lang w:eastAsia="en-GB"/>
              </w:rPr>
            </w:pPr>
          </w:p>
        </w:tc>
        <w:tc>
          <w:tcPr>
            <w:tcW w:w="494" w:type="dxa"/>
            <w:noWrap/>
            <w:vAlign w:val="bottom"/>
            <w:hideMark/>
          </w:tcPr>
          <w:p w14:paraId="7C64758E" w14:textId="77777777" w:rsidR="0020140B" w:rsidRDefault="0020140B">
            <w:pPr>
              <w:rPr>
                <w:szCs w:val="20"/>
                <w:lang w:eastAsia="en-GB"/>
              </w:rPr>
            </w:pPr>
          </w:p>
        </w:tc>
        <w:tc>
          <w:tcPr>
            <w:tcW w:w="745" w:type="dxa"/>
            <w:noWrap/>
            <w:vAlign w:val="bottom"/>
            <w:hideMark/>
          </w:tcPr>
          <w:p w14:paraId="34FEC6EB" w14:textId="77777777" w:rsidR="0020140B" w:rsidRDefault="0020140B">
            <w:pPr>
              <w:rPr>
                <w:szCs w:val="20"/>
                <w:lang w:eastAsia="en-GB"/>
              </w:rPr>
            </w:pPr>
          </w:p>
        </w:tc>
        <w:tc>
          <w:tcPr>
            <w:tcW w:w="495" w:type="dxa"/>
            <w:noWrap/>
            <w:vAlign w:val="bottom"/>
            <w:hideMark/>
          </w:tcPr>
          <w:p w14:paraId="2D21E270" w14:textId="77777777" w:rsidR="0020140B" w:rsidRDefault="0020140B">
            <w:pPr>
              <w:rPr>
                <w:szCs w:val="20"/>
                <w:lang w:eastAsia="en-GB"/>
              </w:rPr>
            </w:pPr>
          </w:p>
        </w:tc>
        <w:tc>
          <w:tcPr>
            <w:tcW w:w="1474" w:type="dxa"/>
            <w:noWrap/>
            <w:vAlign w:val="bottom"/>
            <w:hideMark/>
          </w:tcPr>
          <w:p w14:paraId="07F8BDF4" w14:textId="77777777" w:rsidR="0020140B" w:rsidRDefault="0020140B">
            <w:pPr>
              <w:rPr>
                <w:szCs w:val="20"/>
                <w:lang w:eastAsia="en-GB"/>
              </w:rPr>
            </w:pPr>
          </w:p>
        </w:tc>
        <w:tc>
          <w:tcPr>
            <w:tcW w:w="590" w:type="dxa"/>
            <w:noWrap/>
            <w:vAlign w:val="bottom"/>
            <w:hideMark/>
          </w:tcPr>
          <w:p w14:paraId="6C9BF641" w14:textId="77777777" w:rsidR="0020140B" w:rsidRDefault="0020140B">
            <w:pPr>
              <w:rPr>
                <w:szCs w:val="20"/>
                <w:lang w:eastAsia="en-GB"/>
              </w:rPr>
            </w:pPr>
          </w:p>
        </w:tc>
        <w:tc>
          <w:tcPr>
            <w:tcW w:w="998" w:type="dxa"/>
            <w:noWrap/>
            <w:vAlign w:val="bottom"/>
            <w:hideMark/>
          </w:tcPr>
          <w:p w14:paraId="364319CB" w14:textId="77777777" w:rsidR="0020140B" w:rsidRDefault="0020140B">
            <w:pPr>
              <w:rPr>
                <w:szCs w:val="20"/>
                <w:lang w:eastAsia="en-GB"/>
              </w:rPr>
            </w:pPr>
          </w:p>
        </w:tc>
        <w:tc>
          <w:tcPr>
            <w:tcW w:w="733" w:type="dxa"/>
            <w:noWrap/>
            <w:vAlign w:val="bottom"/>
            <w:hideMark/>
          </w:tcPr>
          <w:p w14:paraId="47415617" w14:textId="77777777" w:rsidR="0020140B" w:rsidRDefault="0020140B">
            <w:pPr>
              <w:rPr>
                <w:szCs w:val="20"/>
                <w:lang w:eastAsia="en-GB"/>
              </w:rPr>
            </w:pPr>
          </w:p>
        </w:tc>
      </w:tr>
      <w:tr w:rsidR="0020140B" w14:paraId="1E8659E8" w14:textId="77777777" w:rsidTr="00785038">
        <w:trPr>
          <w:trHeight w:val="300"/>
          <w:jc w:val="center"/>
        </w:trPr>
        <w:tc>
          <w:tcPr>
            <w:tcW w:w="981" w:type="dxa"/>
            <w:tcBorders>
              <w:top w:val="single" w:sz="4" w:space="0" w:color="auto"/>
              <w:left w:val="single" w:sz="4" w:space="0" w:color="auto"/>
              <w:bottom w:val="single" w:sz="4" w:space="0" w:color="auto"/>
              <w:right w:val="single" w:sz="4" w:space="0" w:color="auto"/>
            </w:tcBorders>
            <w:noWrap/>
            <w:vAlign w:val="center"/>
            <w:hideMark/>
          </w:tcPr>
          <w:p w14:paraId="336E9935" w14:textId="77777777" w:rsidR="0020140B" w:rsidRDefault="0020140B">
            <w:pPr>
              <w:jc w:val="center"/>
              <w:rPr>
                <w:rFonts w:eastAsia="Times New Roman" w:cs="Times New Roman"/>
                <w:szCs w:val="20"/>
                <w:lang w:eastAsia="en-GB"/>
              </w:rPr>
            </w:pPr>
            <w:r>
              <w:rPr>
                <w:rFonts w:eastAsia="Times New Roman" w:cs="Times New Roman"/>
                <w:szCs w:val="20"/>
                <w:lang w:eastAsia="en-GB"/>
              </w:rPr>
              <w:t>Format 0</w:t>
            </w:r>
          </w:p>
        </w:tc>
        <w:tc>
          <w:tcPr>
            <w:tcW w:w="580" w:type="dxa"/>
            <w:tcBorders>
              <w:top w:val="single" w:sz="4" w:space="0" w:color="auto"/>
              <w:left w:val="nil"/>
              <w:bottom w:val="single" w:sz="4" w:space="0" w:color="auto"/>
              <w:right w:val="single" w:sz="4" w:space="0" w:color="auto"/>
            </w:tcBorders>
            <w:noWrap/>
            <w:vAlign w:val="center"/>
            <w:hideMark/>
          </w:tcPr>
          <w:p w14:paraId="34F8645D" w14:textId="687DE1A0" w:rsidR="0020140B" w:rsidRDefault="0020140B">
            <w:pPr>
              <w:jc w:val="center"/>
              <w:rPr>
                <w:rFonts w:eastAsia="Times New Roman" w:cs="Times New Roman"/>
                <w:szCs w:val="20"/>
                <w:lang w:eastAsia="en-GB"/>
              </w:rPr>
            </w:pPr>
            <w:r>
              <w:rPr>
                <w:rFonts w:eastAsia="Times New Roman" w:cs="Times New Roman"/>
                <w:szCs w:val="20"/>
                <w:lang w:eastAsia="en-GB"/>
              </w:rPr>
              <w:t>1.25 kHz</w:t>
            </w:r>
          </w:p>
        </w:tc>
        <w:tc>
          <w:tcPr>
            <w:tcW w:w="1323" w:type="dxa"/>
            <w:tcBorders>
              <w:top w:val="single" w:sz="4" w:space="0" w:color="auto"/>
              <w:left w:val="nil"/>
              <w:bottom w:val="single" w:sz="4" w:space="0" w:color="auto"/>
              <w:right w:val="single" w:sz="4" w:space="0" w:color="auto"/>
            </w:tcBorders>
            <w:noWrap/>
            <w:vAlign w:val="center"/>
            <w:hideMark/>
          </w:tcPr>
          <w:p w14:paraId="382F2305" w14:textId="77777777" w:rsidR="0020140B" w:rsidRDefault="0020140B">
            <w:pPr>
              <w:jc w:val="center"/>
              <w:rPr>
                <w:rFonts w:eastAsia="Times New Roman" w:cs="Times New Roman"/>
                <w:szCs w:val="20"/>
                <w:lang w:eastAsia="en-GB"/>
              </w:rPr>
            </w:pPr>
            <w:r>
              <w:rPr>
                <w:rFonts w:eastAsia="Times New Roman" w:cs="Times New Roman"/>
                <w:szCs w:val="20"/>
                <w:lang w:eastAsia="en-GB"/>
              </w:rPr>
              <w:t>Unrestricted</w:t>
            </w:r>
          </w:p>
        </w:tc>
        <w:tc>
          <w:tcPr>
            <w:tcW w:w="525" w:type="dxa"/>
            <w:tcBorders>
              <w:top w:val="single" w:sz="4" w:space="0" w:color="auto"/>
              <w:left w:val="nil"/>
              <w:bottom w:val="single" w:sz="4" w:space="0" w:color="auto"/>
              <w:right w:val="single" w:sz="4" w:space="0" w:color="auto"/>
            </w:tcBorders>
            <w:noWrap/>
            <w:vAlign w:val="center"/>
            <w:hideMark/>
          </w:tcPr>
          <w:p w14:paraId="035F4B7D" w14:textId="77777777" w:rsidR="0020140B" w:rsidRDefault="0020140B">
            <w:pPr>
              <w:jc w:val="center"/>
              <w:rPr>
                <w:rFonts w:eastAsia="Times New Roman" w:cs="Times New Roman"/>
                <w:szCs w:val="20"/>
                <w:lang w:eastAsia="en-GB"/>
              </w:rPr>
            </w:pPr>
            <w:r>
              <w:rPr>
                <w:rFonts w:eastAsia="Times New Roman" w:cs="Times New Roman"/>
                <w:szCs w:val="20"/>
                <w:lang w:eastAsia="en-GB"/>
              </w:rPr>
              <w:t>13</w:t>
            </w:r>
          </w:p>
        </w:tc>
        <w:tc>
          <w:tcPr>
            <w:tcW w:w="679" w:type="dxa"/>
            <w:tcBorders>
              <w:top w:val="single" w:sz="4" w:space="0" w:color="auto"/>
              <w:left w:val="nil"/>
              <w:bottom w:val="single" w:sz="4" w:space="0" w:color="auto"/>
              <w:right w:val="single" w:sz="4" w:space="0" w:color="auto"/>
            </w:tcBorders>
            <w:noWrap/>
            <w:vAlign w:val="center"/>
            <w:hideMark/>
          </w:tcPr>
          <w:p w14:paraId="79DFB7A0" w14:textId="77777777" w:rsidR="0020140B" w:rsidRDefault="0020140B">
            <w:pPr>
              <w:jc w:val="center"/>
              <w:rPr>
                <w:rFonts w:eastAsia="Times New Roman" w:cs="Times New Roman"/>
                <w:szCs w:val="20"/>
                <w:lang w:eastAsia="en-GB"/>
              </w:rPr>
            </w:pPr>
            <w:r>
              <w:rPr>
                <w:rFonts w:eastAsia="Times New Roman" w:cs="Times New Roman"/>
                <w:szCs w:val="20"/>
                <w:lang w:eastAsia="en-GB"/>
              </w:rPr>
              <w:t>22</w:t>
            </w:r>
          </w:p>
        </w:tc>
        <w:tc>
          <w:tcPr>
            <w:tcW w:w="494" w:type="dxa"/>
            <w:tcBorders>
              <w:top w:val="single" w:sz="4" w:space="0" w:color="auto"/>
              <w:left w:val="nil"/>
              <w:bottom w:val="single" w:sz="4" w:space="0" w:color="auto"/>
              <w:right w:val="single" w:sz="4" w:space="0" w:color="auto"/>
            </w:tcBorders>
            <w:noWrap/>
            <w:vAlign w:val="center"/>
            <w:hideMark/>
          </w:tcPr>
          <w:p w14:paraId="16945E54" w14:textId="77777777" w:rsidR="0020140B" w:rsidRDefault="0020140B">
            <w:pPr>
              <w:jc w:val="center"/>
              <w:rPr>
                <w:rFonts w:eastAsia="Times New Roman" w:cs="Times New Roman"/>
                <w:szCs w:val="20"/>
                <w:lang w:eastAsia="en-GB"/>
              </w:rPr>
            </w:pPr>
            <w:r>
              <w:rPr>
                <w:rFonts w:eastAsia="Times New Roman" w:cs="Times New Roman"/>
                <w:szCs w:val="20"/>
                <w:lang w:eastAsia="en-GB"/>
              </w:rPr>
              <w:t>32</w:t>
            </w:r>
          </w:p>
        </w:tc>
        <w:tc>
          <w:tcPr>
            <w:tcW w:w="745" w:type="dxa"/>
            <w:tcBorders>
              <w:top w:val="single" w:sz="4" w:space="0" w:color="auto"/>
              <w:left w:val="nil"/>
              <w:bottom w:val="single" w:sz="4" w:space="0" w:color="auto"/>
              <w:right w:val="single" w:sz="4" w:space="0" w:color="auto"/>
            </w:tcBorders>
            <w:noWrap/>
            <w:vAlign w:val="center"/>
            <w:hideMark/>
          </w:tcPr>
          <w:p w14:paraId="54F370E4" w14:textId="77777777" w:rsidR="0020140B" w:rsidRDefault="0020140B">
            <w:pPr>
              <w:jc w:val="center"/>
              <w:rPr>
                <w:rFonts w:eastAsia="Times New Roman" w:cs="Times New Roman"/>
                <w:szCs w:val="20"/>
                <w:lang w:eastAsia="en-GB"/>
              </w:rPr>
            </w:pPr>
            <w:r>
              <w:rPr>
                <w:rFonts w:eastAsia="Times New Roman" w:cs="Times New Roman"/>
                <w:szCs w:val="20"/>
                <w:lang w:eastAsia="en-GB"/>
              </w:rPr>
              <w:t>1T2R</w:t>
            </w:r>
          </w:p>
        </w:tc>
        <w:tc>
          <w:tcPr>
            <w:tcW w:w="495" w:type="dxa"/>
            <w:tcBorders>
              <w:top w:val="single" w:sz="4" w:space="0" w:color="auto"/>
              <w:left w:val="nil"/>
              <w:bottom w:val="single" w:sz="4" w:space="0" w:color="auto"/>
              <w:right w:val="single" w:sz="4" w:space="0" w:color="auto"/>
            </w:tcBorders>
            <w:noWrap/>
            <w:vAlign w:val="center"/>
            <w:hideMark/>
          </w:tcPr>
          <w:p w14:paraId="1A3EB365" w14:textId="77777777" w:rsidR="0020140B" w:rsidRDefault="0020140B">
            <w:pPr>
              <w:jc w:val="center"/>
              <w:rPr>
                <w:rFonts w:eastAsia="Times New Roman" w:cs="Times New Roman"/>
                <w:szCs w:val="20"/>
                <w:lang w:eastAsia="en-GB"/>
              </w:rPr>
            </w:pPr>
            <w:r>
              <w:rPr>
                <w:rFonts w:eastAsia="Times New Roman" w:cs="Times New Roman"/>
                <w:szCs w:val="20"/>
                <w:lang w:eastAsia="en-GB"/>
              </w:rPr>
              <w:t>3.6</w:t>
            </w:r>
          </w:p>
        </w:tc>
        <w:tc>
          <w:tcPr>
            <w:tcW w:w="1474" w:type="dxa"/>
            <w:tcBorders>
              <w:top w:val="single" w:sz="4" w:space="0" w:color="auto"/>
              <w:left w:val="nil"/>
              <w:bottom w:val="single" w:sz="4" w:space="0" w:color="auto"/>
              <w:right w:val="single" w:sz="4" w:space="0" w:color="auto"/>
            </w:tcBorders>
            <w:noWrap/>
            <w:vAlign w:val="center"/>
            <w:hideMark/>
          </w:tcPr>
          <w:p w14:paraId="7274F7FD" w14:textId="77777777" w:rsidR="0020140B" w:rsidRDefault="0020140B">
            <w:pPr>
              <w:jc w:val="center"/>
              <w:rPr>
                <w:rFonts w:eastAsia="Times New Roman" w:cs="Times New Roman"/>
                <w:szCs w:val="20"/>
                <w:lang w:eastAsia="en-GB"/>
              </w:rPr>
            </w:pPr>
            <w:r>
              <w:rPr>
                <w:rFonts w:eastAsia="Times New Roman" w:cs="Times New Roman"/>
                <w:szCs w:val="20"/>
                <w:lang w:eastAsia="en-GB"/>
              </w:rPr>
              <w:t>TDLC300-100</w:t>
            </w:r>
          </w:p>
        </w:tc>
        <w:tc>
          <w:tcPr>
            <w:tcW w:w="590" w:type="dxa"/>
            <w:tcBorders>
              <w:top w:val="single" w:sz="4" w:space="0" w:color="auto"/>
              <w:left w:val="nil"/>
              <w:bottom w:val="single" w:sz="4" w:space="0" w:color="auto"/>
              <w:right w:val="single" w:sz="4" w:space="0" w:color="auto"/>
            </w:tcBorders>
            <w:noWrap/>
            <w:vAlign w:val="center"/>
            <w:hideMark/>
          </w:tcPr>
          <w:p w14:paraId="0C5A9DFF" w14:textId="77777777" w:rsidR="0020140B" w:rsidRDefault="0020140B">
            <w:pPr>
              <w:jc w:val="center"/>
              <w:rPr>
                <w:rFonts w:eastAsia="Times New Roman" w:cs="Times New Roman"/>
                <w:szCs w:val="20"/>
                <w:lang w:eastAsia="en-GB"/>
              </w:rPr>
            </w:pPr>
            <w:r>
              <w:rPr>
                <w:rFonts w:eastAsia="Times New Roman" w:cs="Times New Roman"/>
                <w:szCs w:val="20"/>
                <w:lang w:eastAsia="en-GB"/>
              </w:rPr>
              <w:t>400</w:t>
            </w:r>
          </w:p>
        </w:tc>
        <w:tc>
          <w:tcPr>
            <w:tcW w:w="998" w:type="dxa"/>
            <w:tcBorders>
              <w:top w:val="single" w:sz="4" w:space="0" w:color="auto"/>
              <w:left w:val="nil"/>
              <w:bottom w:val="single" w:sz="4" w:space="0" w:color="auto"/>
              <w:right w:val="single" w:sz="4" w:space="0" w:color="auto"/>
            </w:tcBorders>
            <w:noWrap/>
            <w:vAlign w:val="center"/>
            <w:hideMark/>
          </w:tcPr>
          <w:p w14:paraId="0B6C077F" w14:textId="77777777" w:rsidR="0020140B" w:rsidRDefault="0020140B">
            <w:pPr>
              <w:jc w:val="center"/>
              <w:rPr>
                <w:rFonts w:eastAsia="Times New Roman" w:cs="Times New Roman"/>
                <w:szCs w:val="20"/>
                <w:lang w:eastAsia="en-GB"/>
              </w:rPr>
            </w:pPr>
            <w:r>
              <w:rPr>
                <w:rFonts w:eastAsia="Times New Roman" w:cs="Times New Roman"/>
                <w:szCs w:val="20"/>
                <w:lang w:eastAsia="en-GB"/>
              </w:rPr>
              <w:t>2.55us</w:t>
            </w:r>
          </w:p>
        </w:tc>
        <w:tc>
          <w:tcPr>
            <w:tcW w:w="733" w:type="dxa"/>
            <w:tcBorders>
              <w:top w:val="single" w:sz="4" w:space="0" w:color="auto"/>
              <w:left w:val="nil"/>
              <w:bottom w:val="single" w:sz="4" w:space="0" w:color="auto"/>
              <w:right w:val="single" w:sz="4" w:space="0" w:color="auto"/>
            </w:tcBorders>
            <w:noWrap/>
            <w:vAlign w:val="center"/>
            <w:hideMark/>
          </w:tcPr>
          <w:p w14:paraId="4A684E08" w14:textId="77777777" w:rsidR="0020140B" w:rsidRDefault="0020140B">
            <w:pPr>
              <w:jc w:val="center"/>
              <w:rPr>
                <w:rFonts w:eastAsia="Times New Roman" w:cs="Times New Roman"/>
                <w:szCs w:val="20"/>
                <w:lang w:eastAsia="en-GB"/>
              </w:rPr>
            </w:pPr>
            <w:r>
              <w:rPr>
                <w:rFonts w:eastAsia="Times New Roman" w:cs="Times New Roman"/>
                <w:szCs w:val="20"/>
                <w:lang w:eastAsia="en-GB"/>
              </w:rPr>
              <w:t>-9.03</w:t>
            </w:r>
          </w:p>
        </w:tc>
      </w:tr>
    </w:tbl>
    <w:p w14:paraId="12115B03" w14:textId="5ACB0E26" w:rsidR="0020140B" w:rsidRDefault="0020140B" w:rsidP="00092349">
      <w:pPr>
        <w:rPr>
          <w:lang w:val="en-GB"/>
        </w:rPr>
      </w:pPr>
    </w:p>
    <w:p w14:paraId="3AEA9F66" w14:textId="2F15AAAA" w:rsidR="00785038" w:rsidRDefault="00785038" w:rsidP="00092349">
      <w:pPr>
        <w:rPr>
          <w:lang w:val="en-GB"/>
        </w:rPr>
      </w:pPr>
      <w:r>
        <w:rPr>
          <w:lang w:val="en-GB"/>
        </w:rPr>
        <w:t>We show an increased performance, when the receiver is working in “restricted set mode” against “unrestricted set” for the exact same preamble and propagation condition.</w:t>
      </w:r>
    </w:p>
    <w:p w14:paraId="5A1FBD69" w14:textId="440884C9" w:rsidR="00785038" w:rsidRDefault="00785038" w:rsidP="00785038">
      <w:pPr>
        <w:rPr>
          <w:lang w:val="en-GB"/>
        </w:rPr>
      </w:pPr>
      <w:r>
        <w:rPr>
          <w:lang w:val="en-GB"/>
        </w:rPr>
        <w:t>The theoretical reason behind this observation being that correlation peak “harmonics” are placed multiples of the detection windows (a</w:t>
      </w:r>
      <w:r w:rsidRPr="00785038">
        <w:rPr>
          <w:lang w:val="en-GB"/>
        </w:rPr>
        <w:t>t</w:t>
      </w:r>
      <w:r>
        <w:rPr>
          <w:lang w:val="en-GB"/>
        </w:rPr>
        <w:t xml:space="preserve"> </w:t>
      </w:r>
      <w:r w:rsidRPr="00785038">
        <w:rPr>
          <w:lang w:val="en-GB"/>
        </w:rPr>
        <w:t>+/- n*du</w:t>
      </w:r>
      <w:r>
        <w:rPr>
          <w:lang w:val="en-GB"/>
        </w:rPr>
        <w:t>, where du is linked to N</w:t>
      </w:r>
      <w:r w:rsidRPr="00785038">
        <w:rPr>
          <w:vertAlign w:val="subscript"/>
          <w:lang w:val="en-GB"/>
        </w:rPr>
        <w:t>CS</w:t>
      </w:r>
      <w:r>
        <w:rPr>
          <w:lang w:val="en-GB"/>
        </w:rPr>
        <w:t xml:space="preserve"> as described in the RAN1 spec). These “harmonics”</w:t>
      </w:r>
      <w:r w:rsidRPr="00785038">
        <w:rPr>
          <w:lang w:val="en-GB"/>
        </w:rPr>
        <w:t xml:space="preserve"> provide signal energy that can be exploited given the knowledge about </w:t>
      </w:r>
      <w:r w:rsidR="004D65D1">
        <w:rPr>
          <w:lang w:val="en-GB"/>
        </w:rPr>
        <w:t>non</w:t>
      </w:r>
      <w:r w:rsidRPr="00785038">
        <w:rPr>
          <w:lang w:val="en-GB"/>
        </w:rPr>
        <w:t>-interfered search windows.</w:t>
      </w:r>
      <w:r>
        <w:rPr>
          <w:lang w:val="en-GB"/>
        </w:rPr>
        <w:br/>
        <w:t>Hence</w:t>
      </w:r>
      <w:r w:rsidRPr="00785038">
        <w:rPr>
          <w:lang w:val="en-GB"/>
        </w:rPr>
        <w:t xml:space="preserve"> implementations that use optimized PDP combination can achieve higher PRACH performance for restricted set over unrestricted sets.</w:t>
      </w:r>
      <w:r>
        <w:rPr>
          <w:lang w:val="en-GB"/>
        </w:rPr>
        <w:br/>
      </w:r>
      <w:r w:rsidRPr="00785038">
        <w:rPr>
          <w:lang w:val="en-GB"/>
        </w:rPr>
        <w:t xml:space="preserve">For </w:t>
      </w:r>
      <w:r>
        <w:rPr>
          <w:lang w:val="en-GB"/>
        </w:rPr>
        <w:t>restricted</w:t>
      </w:r>
      <w:r w:rsidRPr="00785038">
        <w:rPr>
          <w:lang w:val="en-GB"/>
        </w:rPr>
        <w:t xml:space="preserve"> set type A (i.e., only +/- 1*du can be combined), the performance gain is around 0.5dB</w:t>
      </w:r>
      <w:r>
        <w:rPr>
          <w:lang w:val="en-GB"/>
        </w:rPr>
        <w:t xml:space="preserve"> (see </w:t>
      </w:r>
      <w:r>
        <w:rPr>
          <w:lang w:val="en-GB"/>
        </w:rPr>
        <w:fldChar w:fldCharType="begin"/>
      </w:r>
      <w:r>
        <w:rPr>
          <w:lang w:val="en-GB"/>
        </w:rPr>
        <w:instrText xml:space="preserve"> REF _Ref47361743 \h </w:instrText>
      </w:r>
      <w:r>
        <w:rPr>
          <w:lang w:val="en-GB"/>
        </w:rPr>
      </w:r>
      <w:r>
        <w:rPr>
          <w:lang w:val="en-GB"/>
        </w:rPr>
        <w:fldChar w:fldCharType="separate"/>
      </w:r>
      <w:r w:rsidR="000F03B3">
        <w:t xml:space="preserve">Table </w:t>
      </w:r>
      <w:r w:rsidR="000F03B3">
        <w:rPr>
          <w:noProof/>
        </w:rPr>
        <w:t>1</w:t>
      </w:r>
      <w:r>
        <w:rPr>
          <w:lang w:val="en-GB"/>
        </w:rPr>
        <w:fldChar w:fldCharType="end"/>
      </w:r>
      <w:r>
        <w:rPr>
          <w:lang w:val="en-GB"/>
        </w:rPr>
        <w:t>)</w:t>
      </w:r>
      <w:r w:rsidR="0094744C">
        <w:rPr>
          <w:lang w:val="en-GB"/>
        </w:rPr>
        <w:t xml:space="preserve"> for the chosen preamble, when </w:t>
      </w:r>
      <w:r w:rsidRPr="00785038">
        <w:rPr>
          <w:lang w:val="en-GB"/>
        </w:rPr>
        <w:t xml:space="preserve">exploiting knowledge that harmonics in a larger search window can be combined. </w:t>
      </w:r>
    </w:p>
    <w:p w14:paraId="11174C75" w14:textId="73AA6637" w:rsidR="0094744C" w:rsidRPr="00785038" w:rsidRDefault="0094744C" w:rsidP="00785038">
      <w:pPr>
        <w:rPr>
          <w:lang w:val="en-GB"/>
        </w:rPr>
      </w:pPr>
      <w:r>
        <w:rPr>
          <w:lang w:val="en-GB"/>
        </w:rPr>
        <w:t xml:space="preserve">To be even more explicit, when </w:t>
      </w:r>
      <w:r w:rsidRPr="0094744C">
        <w:rPr>
          <w:lang w:val="en-GB"/>
        </w:rPr>
        <w:t>du &gt;=</w:t>
      </w:r>
      <w:proofErr w:type="spellStart"/>
      <w:r w:rsidRPr="0094744C">
        <w:rPr>
          <w:lang w:val="en-GB"/>
        </w:rPr>
        <w:t>Ncs</w:t>
      </w:r>
      <w:proofErr w:type="spellEnd"/>
      <w:r>
        <w:rPr>
          <w:lang w:val="en-GB"/>
        </w:rPr>
        <w:t xml:space="preserve">, i.e., </w:t>
      </w:r>
      <w:r>
        <w:rPr>
          <w:lang w:eastAsia="zh-CN"/>
        </w:rPr>
        <w:t xml:space="preserve">harmonics at +/- du falls into other cyclic shift windows, PDP combination receiver algorithms perform better, if restricted sets are enabled. </w:t>
      </w:r>
      <w:r>
        <w:rPr>
          <w:lang w:eastAsia="zh-CN"/>
        </w:rPr>
        <w:br/>
        <w:t xml:space="preserve">For </w:t>
      </w:r>
      <w:r w:rsidRPr="0094744C">
        <w:rPr>
          <w:lang w:val="en-GB"/>
        </w:rPr>
        <w:t>du</w:t>
      </w:r>
      <w:r>
        <w:rPr>
          <w:lang w:val="en-GB"/>
        </w:rPr>
        <w:t>&lt;</w:t>
      </w:r>
      <w:proofErr w:type="spellStart"/>
      <w:r w:rsidRPr="0094744C">
        <w:rPr>
          <w:lang w:val="en-GB"/>
        </w:rPr>
        <w:t>Ncs</w:t>
      </w:r>
      <w:proofErr w:type="spellEnd"/>
      <w:r>
        <w:rPr>
          <w:lang w:val="en-GB"/>
        </w:rPr>
        <w:t xml:space="preserve">, i.e., </w:t>
      </w:r>
      <w:r>
        <w:rPr>
          <w:lang w:eastAsia="zh-CN"/>
        </w:rPr>
        <w:t>+/-du cyclic shift windows overlaps with real search window, unrestricted sets enabled receivers perform better</w:t>
      </w:r>
      <w:r w:rsidR="00355361">
        <w:rPr>
          <w:lang w:eastAsia="zh-CN"/>
        </w:rPr>
        <w:t xml:space="preserve">, if du is less than timing error tolerance </w:t>
      </w:r>
      <w:r>
        <w:rPr>
          <w:lang w:eastAsia="zh-CN"/>
        </w:rPr>
        <w:t>(a good implementation will fall back to unrestricted, even if restricted is configured).</w:t>
      </w:r>
    </w:p>
    <w:p w14:paraId="6D40FD3E" w14:textId="4FF84AA6" w:rsidR="00785038" w:rsidRDefault="00785038" w:rsidP="00785038">
      <w:pPr>
        <w:rPr>
          <w:lang w:val="en-GB"/>
        </w:rPr>
      </w:pPr>
      <w:r w:rsidRPr="00785038">
        <w:rPr>
          <w:lang w:val="en-GB"/>
        </w:rPr>
        <w:t xml:space="preserve">The same effect (i.e., where harmonics fall is important) was discussed a few months ago, when </w:t>
      </w:r>
      <w:r w:rsidR="0094744C">
        <w:rPr>
          <w:lang w:val="en-GB"/>
        </w:rPr>
        <w:t xml:space="preserve">we </w:t>
      </w:r>
      <w:r w:rsidR="0094744C" w:rsidRPr="00785038">
        <w:rPr>
          <w:lang w:val="en-GB"/>
        </w:rPr>
        <w:t>deliberated</w:t>
      </w:r>
      <w:r w:rsidRPr="00785038">
        <w:rPr>
          <w:lang w:val="en-GB"/>
        </w:rPr>
        <w:t xml:space="preserve"> the case of better and worse preamble indices.</w:t>
      </w:r>
    </w:p>
    <w:p w14:paraId="102EF0B1" w14:textId="16EB1D4D" w:rsidR="00785038" w:rsidRDefault="00A87FE7" w:rsidP="00A87FE7">
      <w:pPr>
        <w:pStyle w:val="RAN4observation0"/>
      </w:pPr>
      <w:r>
        <w:t>Receiver i</w:t>
      </w:r>
      <w:r w:rsidRPr="00A87FE7">
        <w:t>mplementations that use optimized PDP combination can achieve higher PRACH performance for restricted set over unrestricted sets</w:t>
      </w:r>
      <w:r>
        <w:t xml:space="preserve">, </w:t>
      </w:r>
      <w:r w:rsidR="00654E32">
        <w:t>given</w:t>
      </w:r>
      <w:r>
        <w:t xml:space="preserve"> the exact same preamble and propagation condition.</w:t>
      </w:r>
      <w:r w:rsidR="0094744C">
        <w:t xml:space="preserve"> </w:t>
      </w:r>
      <w:r w:rsidR="00654E32">
        <w:t xml:space="preserve">The effect varies depending on which exact preamble is chosen. </w:t>
      </w:r>
    </w:p>
    <w:p w14:paraId="77C1D27C" w14:textId="77777777" w:rsidR="00092349" w:rsidRDefault="00092349" w:rsidP="00092349">
      <w:pPr>
        <w:rPr>
          <w:lang w:val="en-GB"/>
        </w:rPr>
      </w:pPr>
    </w:p>
    <w:p w14:paraId="23F4967F" w14:textId="08B81CE0" w:rsidR="00092349" w:rsidRDefault="00F60DF2" w:rsidP="005C23A4">
      <w:pPr>
        <w:rPr>
          <w:lang w:val="en-GB"/>
        </w:rPr>
      </w:pPr>
      <w:r>
        <w:rPr>
          <w:lang w:val="en-GB"/>
        </w:rPr>
        <w:t>Additionally, there was a c</w:t>
      </w:r>
      <w:r w:rsidR="00513F64">
        <w:rPr>
          <w:lang w:val="en-GB"/>
        </w:rPr>
        <w:t xml:space="preserve">omparison of HST/non-HST requirements for format 0, contributed by Huawei in the last meeting </w:t>
      </w:r>
      <w:r w:rsidR="00513F64">
        <w:rPr>
          <w:lang w:val="en-GB"/>
        </w:rPr>
        <w:fldChar w:fldCharType="begin"/>
      </w:r>
      <w:r w:rsidR="00513F64">
        <w:rPr>
          <w:lang w:val="en-GB"/>
        </w:rPr>
        <w:instrText xml:space="preserve"> REF _Ref47092241 \n \h </w:instrText>
      </w:r>
      <w:r w:rsidR="00513F64">
        <w:rPr>
          <w:lang w:val="en-GB"/>
        </w:rPr>
      </w:r>
      <w:r w:rsidR="00513F64">
        <w:rPr>
          <w:lang w:val="en-GB"/>
        </w:rPr>
        <w:fldChar w:fldCharType="separate"/>
      </w:r>
      <w:r w:rsidR="000F03B3">
        <w:rPr>
          <w:lang w:val="en-GB"/>
        </w:rPr>
        <w:t>[3]</w:t>
      </w:r>
      <w:r w:rsidR="00513F64">
        <w:rPr>
          <w:lang w:val="en-GB"/>
        </w:rPr>
        <w:fldChar w:fldCharType="end"/>
      </w:r>
      <w:r w:rsidR="00513F64">
        <w:rPr>
          <w:lang w:val="en-GB"/>
        </w:rPr>
        <w:t>:</w:t>
      </w:r>
    </w:p>
    <w:tbl>
      <w:tblPr>
        <w:tblStyle w:val="TableGrid"/>
        <w:tblW w:w="4500" w:type="pct"/>
        <w:jc w:val="center"/>
        <w:tblLook w:val="04A0" w:firstRow="1" w:lastRow="0" w:firstColumn="1" w:lastColumn="0" w:noHBand="0" w:noVBand="1"/>
      </w:tblPr>
      <w:tblGrid>
        <w:gridCol w:w="8655"/>
      </w:tblGrid>
      <w:tr w:rsidR="00513F64" w14:paraId="10E31F66" w14:textId="77777777" w:rsidTr="0056640E">
        <w:trPr>
          <w:jc w:val="center"/>
        </w:trPr>
        <w:tc>
          <w:tcPr>
            <w:tcW w:w="8655" w:type="dxa"/>
          </w:tcPr>
          <w:p w14:paraId="62832026" w14:textId="77777777" w:rsidR="00513F64" w:rsidRDefault="00513F64" w:rsidP="00513F64"/>
          <w:p w14:paraId="740A4CE7" w14:textId="77777777" w:rsidR="00513F64" w:rsidRPr="00287C9A" w:rsidRDefault="00513F64" w:rsidP="00513F64">
            <w:pPr>
              <w:jc w:val="center"/>
              <w:rPr>
                <w:lang w:eastAsia="zh-CN"/>
              </w:rPr>
            </w:pPr>
            <w:r>
              <w:rPr>
                <w:rFonts w:hint="eastAsia"/>
                <w:lang w:eastAsia="zh-CN"/>
              </w:rPr>
              <w:t>Table 2-1 Requirements comparison for HST/non-HST condition</w:t>
            </w:r>
          </w:p>
          <w:tbl>
            <w:tblPr>
              <w:tblW w:w="0" w:type="auto"/>
              <w:jc w:val="center"/>
              <w:tblCellMar>
                <w:left w:w="0" w:type="dxa"/>
                <w:right w:w="0" w:type="dxa"/>
              </w:tblCellMar>
              <w:tblLook w:val="04A0" w:firstRow="1" w:lastRow="0" w:firstColumn="1" w:lastColumn="0" w:noHBand="0" w:noVBand="1"/>
            </w:tblPr>
            <w:tblGrid>
              <w:gridCol w:w="1011"/>
              <w:gridCol w:w="1011"/>
              <w:gridCol w:w="1849"/>
              <w:gridCol w:w="1134"/>
              <w:gridCol w:w="1083"/>
              <w:gridCol w:w="992"/>
              <w:gridCol w:w="1134"/>
            </w:tblGrid>
            <w:tr w:rsidR="00513F64" w:rsidRPr="00287C9A" w14:paraId="1256F597" w14:textId="77777777" w:rsidTr="0056640E">
              <w:trPr>
                <w:jc w:val="center"/>
              </w:trPr>
              <w:tc>
                <w:tcPr>
                  <w:tcW w:w="101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541D6" w14:textId="77777777" w:rsidR="00513F64" w:rsidRPr="00287C9A" w:rsidRDefault="00513F64" w:rsidP="00513F64">
                  <w:pPr>
                    <w:pStyle w:val="TAH"/>
                    <w:spacing w:before="312"/>
                    <w:rPr>
                      <w:rFonts w:ascii="Times New Roman" w:hAnsi="Times New Roman"/>
                      <w:b w:val="0"/>
                      <w:sz w:val="20"/>
                      <w:lang w:val="en-US" w:eastAsia="zh-CN"/>
                    </w:rPr>
                  </w:pPr>
                  <w:bookmarkStart w:id="5" w:name="OLE_LINK15"/>
                  <w:r w:rsidRPr="00287C9A">
                    <w:rPr>
                      <w:rFonts w:ascii="Times New Roman" w:hAnsi="Times New Roman"/>
                      <w:b w:val="0"/>
                      <w:sz w:val="20"/>
                      <w:lang w:val="en-US" w:eastAsia="zh-CN"/>
                    </w:rPr>
                    <w:t xml:space="preserve">Number of </w:t>
                  </w:r>
                  <w:bookmarkEnd w:id="5"/>
                  <w:r w:rsidRPr="00287C9A">
                    <w:rPr>
                      <w:rFonts w:ascii="Times New Roman" w:hAnsi="Times New Roman"/>
                      <w:b w:val="0"/>
                      <w:sz w:val="20"/>
                      <w:lang w:val="en-US" w:eastAsia="zh-CN"/>
                    </w:rPr>
                    <w:t>TX antennas</w:t>
                  </w:r>
                </w:p>
              </w:tc>
              <w:tc>
                <w:tcPr>
                  <w:tcW w:w="101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B9BC2" w14:textId="77777777" w:rsidR="00513F64" w:rsidRPr="00287C9A" w:rsidRDefault="00513F64" w:rsidP="00513F64">
                  <w:pPr>
                    <w:pStyle w:val="TAH"/>
                    <w:spacing w:before="312"/>
                    <w:rPr>
                      <w:rFonts w:ascii="Times New Roman" w:hAnsi="Times New Roman"/>
                      <w:b w:val="0"/>
                      <w:sz w:val="20"/>
                      <w:lang w:val="en-US" w:eastAsia="zh-CN"/>
                    </w:rPr>
                  </w:pPr>
                  <w:r w:rsidRPr="00287C9A">
                    <w:rPr>
                      <w:rFonts w:ascii="Times New Roman" w:hAnsi="Times New Roman"/>
                      <w:b w:val="0"/>
                      <w:sz w:val="20"/>
                      <w:lang w:val="en-US" w:eastAsia="zh-CN"/>
                    </w:rPr>
                    <w:t>Number of RX antennas</w:t>
                  </w:r>
                </w:p>
              </w:tc>
              <w:tc>
                <w:tcPr>
                  <w:tcW w:w="184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36CB2" w14:textId="77777777" w:rsidR="00513F64" w:rsidRPr="00287C9A" w:rsidRDefault="00513F64" w:rsidP="00513F64">
                  <w:pPr>
                    <w:pStyle w:val="TAH"/>
                    <w:spacing w:before="312"/>
                    <w:rPr>
                      <w:rFonts w:ascii="Times New Roman" w:hAnsi="Times New Roman"/>
                      <w:b w:val="0"/>
                      <w:sz w:val="20"/>
                      <w:lang w:val="en-US" w:eastAsia="zh-CN"/>
                    </w:rPr>
                  </w:pPr>
                  <w:r w:rsidRPr="00287C9A">
                    <w:rPr>
                      <w:rFonts w:ascii="Times New Roman" w:hAnsi="Times New Roman"/>
                      <w:b w:val="0"/>
                      <w:sz w:val="20"/>
                      <w:lang w:val="en-US" w:eastAsia="zh-CN"/>
                    </w:rPr>
                    <w:t>Propagation conditions and correlation matrix (Annex G)</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6DAF05" w14:textId="77777777" w:rsidR="00513F64" w:rsidRPr="00287C9A" w:rsidRDefault="00513F64" w:rsidP="00513F64">
                  <w:pPr>
                    <w:pStyle w:val="TAH"/>
                    <w:spacing w:before="312"/>
                    <w:rPr>
                      <w:rFonts w:ascii="Times New Roman" w:hAnsi="Times New Roman"/>
                      <w:b w:val="0"/>
                      <w:sz w:val="20"/>
                      <w:lang w:val="en-US" w:eastAsia="zh-CN"/>
                    </w:rPr>
                  </w:pPr>
                  <w:r w:rsidRPr="00287C9A">
                    <w:rPr>
                      <w:rFonts w:ascii="Times New Roman" w:hAnsi="Times New Roman"/>
                      <w:b w:val="0"/>
                      <w:sz w:val="20"/>
                      <w:lang w:val="en-US" w:eastAsia="zh-CN"/>
                    </w:rPr>
                    <w:t>Frequency offset</w:t>
                  </w:r>
                </w:p>
              </w:tc>
              <w:tc>
                <w:tcPr>
                  <w:tcW w:w="320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0422A" w14:textId="77777777" w:rsidR="00513F64" w:rsidRPr="00287C9A" w:rsidRDefault="00513F64" w:rsidP="00513F64">
                  <w:pPr>
                    <w:pStyle w:val="TAH"/>
                    <w:spacing w:before="312"/>
                    <w:rPr>
                      <w:rFonts w:ascii="Times New Roman" w:hAnsi="Times New Roman"/>
                      <w:b w:val="0"/>
                      <w:sz w:val="20"/>
                      <w:lang w:val="en-US" w:eastAsia="zh-CN"/>
                    </w:rPr>
                  </w:pPr>
                  <w:r w:rsidRPr="00287C9A">
                    <w:rPr>
                      <w:rFonts w:ascii="Times New Roman" w:hAnsi="Times New Roman"/>
                      <w:b w:val="0"/>
                      <w:sz w:val="20"/>
                      <w:lang w:val="en-US" w:eastAsia="zh-CN"/>
                    </w:rPr>
                    <w:t>SNR (dB)</w:t>
                  </w:r>
                </w:p>
              </w:tc>
            </w:tr>
            <w:tr w:rsidR="00513F64" w:rsidRPr="00287C9A" w14:paraId="78B16BFC" w14:textId="77777777" w:rsidTr="0056640E">
              <w:trPr>
                <w:trHeight w:val="33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D185B67" w14:textId="77777777" w:rsidR="00513F64" w:rsidRPr="00287C9A" w:rsidRDefault="00513F64" w:rsidP="00513F64">
                  <w:pPr>
                    <w:rPr>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1A774514" w14:textId="77777777" w:rsidR="00513F64" w:rsidRPr="00287C9A" w:rsidRDefault="00513F64" w:rsidP="00513F64">
                  <w:pPr>
                    <w:rPr>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6CA1CEC1" w14:textId="77777777" w:rsidR="00513F64" w:rsidRPr="00287C9A" w:rsidRDefault="00513F64" w:rsidP="00513F64">
                  <w:pPr>
                    <w:rPr>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1685AEB0" w14:textId="77777777" w:rsidR="00513F64" w:rsidRPr="00287C9A" w:rsidRDefault="00513F64" w:rsidP="00513F64">
                  <w:pPr>
                    <w:rPr>
                      <w:lang w:eastAsia="zh-CN"/>
                    </w:rPr>
                  </w:pPr>
                </w:p>
              </w:tc>
              <w:tc>
                <w:tcPr>
                  <w:tcW w:w="3209"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18B510F" w14:textId="77777777" w:rsidR="00513F64" w:rsidRPr="00287C9A" w:rsidRDefault="00513F64" w:rsidP="00513F64">
                  <w:pPr>
                    <w:pStyle w:val="TAH"/>
                    <w:spacing w:before="312"/>
                    <w:rPr>
                      <w:rFonts w:ascii="Times New Roman" w:hAnsi="Times New Roman"/>
                      <w:b w:val="0"/>
                      <w:sz w:val="20"/>
                      <w:lang w:val="en-US" w:eastAsia="zh-CN"/>
                    </w:rPr>
                  </w:pPr>
                  <w:r w:rsidRPr="00287C9A">
                    <w:rPr>
                      <w:rFonts w:ascii="Times New Roman" w:hAnsi="Times New Roman"/>
                      <w:b w:val="0"/>
                      <w:sz w:val="20"/>
                      <w:lang w:val="en-US" w:eastAsia="zh-CN"/>
                    </w:rPr>
                    <w:t>Burst format 0</w:t>
                  </w:r>
                </w:p>
              </w:tc>
            </w:tr>
            <w:tr w:rsidR="00513F64" w:rsidRPr="00287C9A" w14:paraId="1BE928DD" w14:textId="77777777" w:rsidTr="0056640E">
              <w:trPr>
                <w:trHeight w:val="333"/>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88A3F3" w14:textId="77777777" w:rsidR="00513F64" w:rsidRPr="00287C9A" w:rsidRDefault="00513F64" w:rsidP="00513F64">
                  <w:pPr>
                    <w:rPr>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1A066F6E" w14:textId="77777777" w:rsidR="00513F64" w:rsidRPr="00287C9A" w:rsidRDefault="00513F64" w:rsidP="00513F64">
                  <w:pPr>
                    <w:rPr>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03ED93C0" w14:textId="77777777" w:rsidR="00513F64" w:rsidRPr="00287C9A" w:rsidRDefault="00513F64" w:rsidP="00513F64">
                  <w:pPr>
                    <w:rPr>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4C49D67C" w14:textId="77777777" w:rsidR="00513F64" w:rsidRPr="00287C9A" w:rsidRDefault="00513F64" w:rsidP="00513F64">
                  <w:pPr>
                    <w:rPr>
                      <w:lang w:eastAsia="zh-CN"/>
                    </w:rPr>
                  </w:pP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47B6338E"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38.104</w:t>
                  </w:r>
                </w:p>
                <w:p w14:paraId="33E4A6A1"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Non-HST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5D9325F"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restricted set 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86E5614"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restricted set B</w:t>
                  </w:r>
                </w:p>
              </w:tc>
            </w:tr>
            <w:tr w:rsidR="00513F64" w:rsidRPr="00287C9A" w14:paraId="028A923C" w14:textId="77777777" w:rsidTr="0056640E">
              <w:trPr>
                <w:trHeight w:val="207"/>
                <w:jc w:val="center"/>
              </w:trPr>
              <w:tc>
                <w:tcPr>
                  <w:tcW w:w="10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179D4"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1</w:t>
                  </w:r>
                </w:p>
              </w:tc>
              <w:tc>
                <w:tcPr>
                  <w:tcW w:w="1011" w:type="dxa"/>
                  <w:tcBorders>
                    <w:top w:val="nil"/>
                    <w:left w:val="nil"/>
                    <w:bottom w:val="single" w:sz="8" w:space="0" w:color="auto"/>
                    <w:right w:val="single" w:sz="8" w:space="0" w:color="auto"/>
                  </w:tcBorders>
                  <w:tcMar>
                    <w:top w:w="0" w:type="dxa"/>
                    <w:left w:w="108" w:type="dxa"/>
                    <w:bottom w:w="0" w:type="dxa"/>
                    <w:right w:w="108" w:type="dxa"/>
                  </w:tcMar>
                  <w:hideMark/>
                </w:tcPr>
                <w:p w14:paraId="313BA829"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2</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14:paraId="58AF072F"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TDLC300-100 Low</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B36B31"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 xml:space="preserve">400 Hz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77241DD3"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-6.6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F991E7D"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0337E8B"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-5.3</w:t>
                  </w:r>
                </w:p>
              </w:tc>
            </w:tr>
            <w:tr w:rsidR="00513F64" w:rsidRPr="00287C9A" w14:paraId="1A0A4DEA" w14:textId="77777777" w:rsidTr="0056640E">
              <w:trPr>
                <w:jc w:val="center"/>
              </w:trPr>
              <w:tc>
                <w:tcPr>
                  <w:tcW w:w="0" w:type="auto"/>
                  <w:vMerge/>
                  <w:tcBorders>
                    <w:top w:val="nil"/>
                    <w:left w:val="single" w:sz="8" w:space="0" w:color="auto"/>
                    <w:bottom w:val="single" w:sz="8" w:space="0" w:color="auto"/>
                    <w:right w:val="single" w:sz="8" w:space="0" w:color="auto"/>
                  </w:tcBorders>
                  <w:vAlign w:val="center"/>
                  <w:hideMark/>
                </w:tcPr>
                <w:p w14:paraId="1918C577" w14:textId="77777777" w:rsidR="00513F64" w:rsidRPr="00287C9A" w:rsidRDefault="00513F64" w:rsidP="00513F64">
                  <w:pPr>
                    <w:rPr>
                      <w:lang w:eastAsia="zh-CN"/>
                    </w:rPr>
                  </w:pPr>
                </w:p>
              </w:tc>
              <w:tc>
                <w:tcPr>
                  <w:tcW w:w="1011" w:type="dxa"/>
                  <w:tcBorders>
                    <w:top w:val="nil"/>
                    <w:left w:val="nil"/>
                    <w:bottom w:val="single" w:sz="8" w:space="0" w:color="auto"/>
                    <w:right w:val="single" w:sz="8" w:space="0" w:color="auto"/>
                  </w:tcBorders>
                  <w:tcMar>
                    <w:top w:w="0" w:type="dxa"/>
                    <w:left w:w="108" w:type="dxa"/>
                    <w:bottom w:w="0" w:type="dxa"/>
                    <w:right w:w="108" w:type="dxa"/>
                  </w:tcMar>
                  <w:hideMark/>
                </w:tcPr>
                <w:p w14:paraId="665C2C83"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4</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14:paraId="79249CF7"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TDLC300-100 Low</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CA6A7D8"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 xml:space="preserve">400 Hz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7081C389"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-11.9</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D375635"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-10.6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F2F76A"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-10.3</w:t>
                  </w:r>
                </w:p>
              </w:tc>
            </w:tr>
            <w:tr w:rsidR="00513F64" w:rsidRPr="00287C9A" w14:paraId="4E35E558" w14:textId="77777777" w:rsidTr="0056640E">
              <w:trPr>
                <w:jc w:val="center"/>
              </w:trPr>
              <w:tc>
                <w:tcPr>
                  <w:tcW w:w="0" w:type="auto"/>
                  <w:vMerge/>
                  <w:tcBorders>
                    <w:top w:val="nil"/>
                    <w:left w:val="single" w:sz="8" w:space="0" w:color="auto"/>
                    <w:bottom w:val="single" w:sz="8" w:space="0" w:color="auto"/>
                    <w:right w:val="single" w:sz="8" w:space="0" w:color="auto"/>
                  </w:tcBorders>
                  <w:vAlign w:val="center"/>
                  <w:hideMark/>
                </w:tcPr>
                <w:p w14:paraId="185BCA86" w14:textId="77777777" w:rsidR="00513F64" w:rsidRPr="00287C9A" w:rsidRDefault="00513F64" w:rsidP="00513F64">
                  <w:pPr>
                    <w:rPr>
                      <w:lang w:eastAsia="zh-CN"/>
                    </w:rPr>
                  </w:pPr>
                </w:p>
              </w:tc>
              <w:tc>
                <w:tcPr>
                  <w:tcW w:w="1011" w:type="dxa"/>
                  <w:tcBorders>
                    <w:top w:val="nil"/>
                    <w:left w:val="nil"/>
                    <w:bottom w:val="single" w:sz="8" w:space="0" w:color="auto"/>
                    <w:right w:val="single" w:sz="8" w:space="0" w:color="auto"/>
                  </w:tcBorders>
                  <w:tcMar>
                    <w:top w:w="0" w:type="dxa"/>
                    <w:left w:w="108" w:type="dxa"/>
                    <w:bottom w:w="0" w:type="dxa"/>
                    <w:right w:w="108" w:type="dxa"/>
                  </w:tcMar>
                  <w:hideMark/>
                </w:tcPr>
                <w:p w14:paraId="14753938"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8</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14:paraId="7020D835"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TDLC300-100 Low</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713524E"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 xml:space="preserve">400 Hz </w:t>
                  </w:r>
                </w:p>
              </w:tc>
              <w:tc>
                <w:tcPr>
                  <w:tcW w:w="1083" w:type="dxa"/>
                  <w:tcBorders>
                    <w:top w:val="nil"/>
                    <w:left w:val="nil"/>
                    <w:bottom w:val="single" w:sz="8" w:space="0" w:color="auto"/>
                    <w:right w:val="single" w:sz="8" w:space="0" w:color="auto"/>
                  </w:tcBorders>
                  <w:tcMar>
                    <w:top w:w="0" w:type="dxa"/>
                    <w:left w:w="108" w:type="dxa"/>
                    <w:bottom w:w="0" w:type="dxa"/>
                    <w:right w:w="108" w:type="dxa"/>
                  </w:tcMar>
                  <w:hideMark/>
                </w:tcPr>
                <w:p w14:paraId="7B494749"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-15.8</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540AA43"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-14.9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CD0B829" w14:textId="77777777" w:rsidR="00513F64" w:rsidRPr="00287C9A" w:rsidRDefault="00513F64" w:rsidP="00513F64">
                  <w:pPr>
                    <w:pStyle w:val="TAC"/>
                    <w:rPr>
                      <w:rFonts w:ascii="Times New Roman" w:hAnsi="Times New Roman"/>
                      <w:sz w:val="20"/>
                      <w:lang w:val="en-US" w:eastAsia="zh-CN"/>
                    </w:rPr>
                  </w:pPr>
                  <w:r w:rsidRPr="00287C9A">
                    <w:rPr>
                      <w:rFonts w:ascii="Times New Roman" w:hAnsi="Times New Roman"/>
                      <w:sz w:val="20"/>
                      <w:lang w:val="en-US" w:eastAsia="zh-CN"/>
                    </w:rPr>
                    <w:t>-14.6</w:t>
                  </w:r>
                </w:p>
              </w:tc>
            </w:tr>
          </w:tbl>
          <w:p w14:paraId="3A91522D" w14:textId="2A33FAAE" w:rsidR="00513F64" w:rsidRDefault="00513F64" w:rsidP="00513F64"/>
          <w:p w14:paraId="2724B65C" w14:textId="7D70EC81" w:rsidR="00945A6A" w:rsidRDefault="00945A6A" w:rsidP="00513F64">
            <w:pPr>
              <w:rPr>
                <w:lang w:eastAsia="zh-CN"/>
              </w:rPr>
            </w:pPr>
            <w:r w:rsidRPr="00287C9A">
              <w:rPr>
                <w:lang w:eastAsia="zh-CN"/>
              </w:rPr>
              <w:lastRenderedPageBreak/>
              <w:t xml:space="preserve">As </w:t>
            </w:r>
            <w:r>
              <w:rPr>
                <w:lang w:eastAsia="zh-CN"/>
              </w:rPr>
              <w:t xml:space="preserve">we can see from the table that the </w:t>
            </w:r>
            <w:r w:rsidRPr="00287C9A">
              <w:rPr>
                <w:lang w:eastAsia="zh-CN"/>
              </w:rPr>
              <w:t xml:space="preserve">difference between </w:t>
            </w:r>
            <w:r>
              <w:rPr>
                <w:lang w:eastAsia="zh-CN"/>
              </w:rPr>
              <w:t xml:space="preserve">results of </w:t>
            </w:r>
            <w:r w:rsidRPr="00287C9A">
              <w:rPr>
                <w:lang w:eastAsia="zh-CN"/>
              </w:rPr>
              <w:t>HST or non-HST is rather small, especially when we consider that some simulation error</w:t>
            </w:r>
            <w:r>
              <w:rPr>
                <w:lang w:eastAsia="zh-CN"/>
              </w:rPr>
              <w:t>/bias</w:t>
            </w:r>
            <w:r w:rsidRPr="00287C9A">
              <w:rPr>
                <w:lang w:eastAsia="zh-CN"/>
              </w:rPr>
              <w:t xml:space="preserve"> may exist d</w:t>
            </w:r>
            <w:r>
              <w:rPr>
                <w:lang w:eastAsia="zh-CN"/>
              </w:rPr>
              <w:t>ue to different company group for</w:t>
            </w:r>
            <w:r w:rsidRPr="00287C9A">
              <w:rPr>
                <w:lang w:eastAsia="zh-CN"/>
              </w:rPr>
              <w:t xml:space="preserve"> alignment for HST and non-HST part. </w:t>
            </w:r>
          </w:p>
          <w:p w14:paraId="79A6D916" w14:textId="2193B4F1" w:rsidR="00513F64" w:rsidRPr="005E0AD9" w:rsidRDefault="00513F64" w:rsidP="00513F64">
            <w:pPr>
              <w:rPr>
                <w:lang w:val="en-GB"/>
              </w:rPr>
            </w:pPr>
          </w:p>
        </w:tc>
      </w:tr>
    </w:tbl>
    <w:p w14:paraId="74385003" w14:textId="77777777" w:rsidR="00513F64" w:rsidRDefault="00513F64" w:rsidP="00513F64">
      <w:pPr>
        <w:rPr>
          <w:lang w:val="en-GB"/>
        </w:rPr>
      </w:pPr>
    </w:p>
    <w:p w14:paraId="1142937C" w14:textId="509BC184" w:rsidR="00945A6A" w:rsidRDefault="00945A6A" w:rsidP="005C23A4">
      <w:pPr>
        <w:rPr>
          <w:lang w:val="en-GB"/>
        </w:rPr>
      </w:pPr>
      <w:r>
        <w:rPr>
          <w:lang w:val="en-GB"/>
        </w:rPr>
        <w:t xml:space="preserve">We don’t agree with the </w:t>
      </w:r>
      <w:r w:rsidR="008B4864">
        <w:rPr>
          <w:lang w:val="en-GB"/>
        </w:rPr>
        <w:t xml:space="preserve">stated </w:t>
      </w:r>
      <w:r>
        <w:rPr>
          <w:lang w:val="en-GB"/>
        </w:rPr>
        <w:t>observation</w:t>
      </w:r>
      <w:r w:rsidR="008B4864">
        <w:rPr>
          <w:lang w:val="en-GB"/>
        </w:rPr>
        <w:t xml:space="preserve"> in </w:t>
      </w:r>
      <w:r w:rsidR="008B4864">
        <w:rPr>
          <w:lang w:val="en-GB"/>
        </w:rPr>
        <w:fldChar w:fldCharType="begin"/>
      </w:r>
      <w:r w:rsidR="008B4864">
        <w:rPr>
          <w:lang w:val="en-GB"/>
        </w:rPr>
        <w:instrText xml:space="preserve"> REF _Ref47092241 \n \h </w:instrText>
      </w:r>
      <w:r w:rsidR="008B4864">
        <w:rPr>
          <w:lang w:val="en-GB"/>
        </w:rPr>
      </w:r>
      <w:r w:rsidR="008B4864">
        <w:rPr>
          <w:lang w:val="en-GB"/>
        </w:rPr>
        <w:fldChar w:fldCharType="separate"/>
      </w:r>
      <w:r w:rsidR="000F03B3">
        <w:rPr>
          <w:lang w:val="en-GB"/>
        </w:rPr>
        <w:t>[3]</w:t>
      </w:r>
      <w:r w:rsidR="008B4864">
        <w:rPr>
          <w:lang w:val="en-GB"/>
        </w:rPr>
        <w:fldChar w:fldCharType="end"/>
      </w:r>
      <w:r>
        <w:rPr>
          <w:lang w:val="en-GB"/>
        </w:rPr>
        <w:t xml:space="preserve"> that 1.4dB (in 1T2R) is a small enough difference to skip having requirements</w:t>
      </w:r>
      <w:r w:rsidR="008B4864">
        <w:rPr>
          <w:lang w:val="en-GB"/>
        </w:rPr>
        <w:t>. Furthermore, i</w:t>
      </w:r>
      <w:r>
        <w:rPr>
          <w:lang w:val="en-GB"/>
        </w:rPr>
        <w:t xml:space="preserve">t is not clear </w:t>
      </w:r>
      <w:r w:rsidR="008B4864">
        <w:rPr>
          <w:lang w:val="en-GB"/>
        </w:rPr>
        <w:t>how</w:t>
      </w:r>
      <w:r>
        <w:rPr>
          <w:lang w:val="en-GB"/>
        </w:rPr>
        <w:t xml:space="preserve"> the preambles (i.e., {</w:t>
      </w:r>
      <w:proofErr w:type="spellStart"/>
      <w:r>
        <w:t>Ncs</w:t>
      </w:r>
      <w:proofErr w:type="spellEnd"/>
      <w:r>
        <w:t xml:space="preserve">, </w:t>
      </w:r>
      <w:proofErr w:type="spellStart"/>
      <w:r>
        <w:t>LogIdx</w:t>
      </w:r>
      <w:proofErr w:type="spellEnd"/>
      <w:r>
        <w:t>, v} tuples</w:t>
      </w:r>
      <w:r>
        <w:rPr>
          <w:lang w:val="en-GB"/>
        </w:rPr>
        <w:t>)</w:t>
      </w:r>
      <w:r w:rsidR="008B4864">
        <w:rPr>
          <w:lang w:val="en-GB"/>
        </w:rPr>
        <w:t xml:space="preserve"> are chosen, and if this impacts</w:t>
      </w:r>
      <w:r>
        <w:rPr>
          <w:lang w:val="en-GB"/>
        </w:rPr>
        <w:t xml:space="preserve"> the comparison in </w:t>
      </w:r>
      <w:r>
        <w:rPr>
          <w:lang w:val="en-GB"/>
        </w:rPr>
        <w:fldChar w:fldCharType="begin"/>
      </w:r>
      <w:r>
        <w:rPr>
          <w:lang w:val="en-GB"/>
        </w:rPr>
        <w:instrText xml:space="preserve"> REF _Ref47092241 \n \h </w:instrText>
      </w:r>
      <w:r>
        <w:rPr>
          <w:lang w:val="en-GB"/>
        </w:rPr>
      </w:r>
      <w:r>
        <w:rPr>
          <w:lang w:val="en-GB"/>
        </w:rPr>
        <w:fldChar w:fldCharType="separate"/>
      </w:r>
      <w:r w:rsidR="000F03B3">
        <w:rPr>
          <w:lang w:val="en-GB"/>
        </w:rPr>
        <w:t>[3]</w:t>
      </w:r>
      <w:r>
        <w:rPr>
          <w:lang w:val="en-GB"/>
        </w:rPr>
        <w:fldChar w:fldCharType="end"/>
      </w:r>
      <w:r>
        <w:rPr>
          <w:lang w:val="en-GB"/>
        </w:rPr>
        <w:t>.</w:t>
      </w:r>
    </w:p>
    <w:p w14:paraId="31FE2EC0" w14:textId="05CC806E" w:rsidR="00945A6A" w:rsidRDefault="00F60DF2" w:rsidP="005C23A4">
      <w:pPr>
        <w:rPr>
          <w:lang w:val="en-GB"/>
        </w:rPr>
      </w:pPr>
      <w:r>
        <w:rPr>
          <w:lang w:val="en-GB"/>
        </w:rPr>
        <w:t>Following our own results and the results provided by other companies,</w:t>
      </w:r>
      <w:r w:rsidR="00515ECE">
        <w:rPr>
          <w:lang w:val="en-GB"/>
        </w:rPr>
        <w:t xml:space="preserve"> that show that the </w:t>
      </w:r>
      <w:r w:rsidR="00D76C97" w:rsidRPr="00D76C97">
        <w:t xml:space="preserve">demodulation performance is different </w:t>
      </w:r>
      <w:r w:rsidR="00D76C97">
        <w:t>between</w:t>
      </w:r>
      <w:r w:rsidR="00D76C97" w:rsidRPr="00D76C97">
        <w:t xml:space="preserve"> receivers that </w:t>
      </w:r>
      <w:r w:rsidR="00D76C97">
        <w:t xml:space="preserve">are </w:t>
      </w:r>
      <w:r w:rsidR="00D76C97" w:rsidRPr="00D76C97">
        <w:t>configured to use restricted sets or not</w:t>
      </w:r>
      <w:r w:rsidR="00D76C97">
        <w:t xml:space="preserve">, </w:t>
      </w:r>
      <w:r w:rsidR="00D76C97" w:rsidRPr="00D76C97">
        <w:t>even</w:t>
      </w:r>
      <w:r w:rsidR="00515ECE">
        <w:rPr>
          <w:lang w:val="en-GB"/>
        </w:rPr>
        <w:t xml:space="preserve"> for the same preamble, </w:t>
      </w:r>
      <w:r>
        <w:rPr>
          <w:lang w:val="en-GB"/>
        </w:rPr>
        <w:t>we make the following proposal:</w:t>
      </w:r>
    </w:p>
    <w:p w14:paraId="7A7B6625" w14:textId="7185A98B" w:rsidR="00F60DF2" w:rsidRPr="00F60DF2" w:rsidRDefault="00F60DF2" w:rsidP="00F60DF2">
      <w:pPr>
        <w:pStyle w:val="RAN4proposal"/>
        <w:rPr>
          <w:lang w:val="en-GB"/>
        </w:rPr>
      </w:pPr>
      <w:r w:rsidRPr="00F60DF2">
        <w:rPr>
          <w:lang w:val="en-GB"/>
        </w:rPr>
        <w:t>Introduce TDLC300-100 for PRACH restricted set type A and B</w:t>
      </w:r>
      <w:r w:rsidR="00515ECE">
        <w:rPr>
          <w:lang w:val="en-GB"/>
        </w:rPr>
        <w:t>, as the</w:t>
      </w:r>
      <w:r w:rsidR="00AE1928">
        <w:rPr>
          <w:lang w:val="en-GB"/>
        </w:rPr>
        <w:t xml:space="preserve"> Rel-15 TDLC300-100</w:t>
      </w:r>
      <w:r w:rsidR="00515ECE">
        <w:rPr>
          <w:lang w:val="en-GB"/>
        </w:rPr>
        <w:t xml:space="preserve"> unrestricted set requirements </w:t>
      </w:r>
      <w:r w:rsidR="00AE1928">
        <w:rPr>
          <w:lang w:val="en-GB"/>
        </w:rPr>
        <w:t>do not represent the restricted set enabled performance</w:t>
      </w:r>
      <w:r w:rsidRPr="00F60DF2">
        <w:rPr>
          <w:lang w:val="en-GB"/>
        </w:rPr>
        <w:t>.</w:t>
      </w:r>
    </w:p>
    <w:p w14:paraId="4E4BE82C" w14:textId="77777777" w:rsidR="00F60DF2" w:rsidRDefault="00F60DF2" w:rsidP="005C23A4">
      <w:pPr>
        <w:rPr>
          <w:lang w:val="en-GB"/>
        </w:rPr>
      </w:pPr>
    </w:p>
    <w:p w14:paraId="67DDF7E2" w14:textId="40EB35ED" w:rsidR="005F23EE" w:rsidRDefault="005F23EE" w:rsidP="005C23A4">
      <w:pPr>
        <w:rPr>
          <w:lang w:val="en-GB"/>
        </w:rPr>
      </w:pPr>
    </w:p>
    <w:p w14:paraId="1A80A948" w14:textId="7B7D11B8" w:rsidR="00DC2E19" w:rsidRDefault="00DC2E19" w:rsidP="00DC2E19">
      <w:pPr>
        <w:pStyle w:val="RAN4H2"/>
        <w:rPr>
          <w:lang w:val="en-GB"/>
        </w:rPr>
      </w:pPr>
      <w:r w:rsidRPr="00DC2E19">
        <w:rPr>
          <w:lang w:val="en-GB"/>
        </w:rPr>
        <w:t>PRACH Manufacturer declaration</w:t>
      </w:r>
    </w:p>
    <w:p w14:paraId="228F27AA" w14:textId="16F7E94C" w:rsidR="00AE403B" w:rsidRDefault="00AE403B" w:rsidP="00AE403B">
      <w:pPr>
        <w:rPr>
          <w:lang w:val="en-GB"/>
        </w:rPr>
      </w:pPr>
      <w:r>
        <w:rPr>
          <w:lang w:val="en-GB"/>
        </w:rPr>
        <w:t xml:space="preserve">A further open question form RAN4#95-e is how to declare PRACH HST support in the manufacturer declarations </w:t>
      </w:r>
      <w:r>
        <w:rPr>
          <w:lang w:val="en-GB"/>
        </w:rPr>
        <w:fldChar w:fldCharType="begin"/>
      </w:r>
      <w:r>
        <w:rPr>
          <w:lang w:val="en-GB"/>
        </w:rPr>
        <w:instrText xml:space="preserve"> REF _Ref46946904 \n \h </w:instrText>
      </w:r>
      <w:r>
        <w:rPr>
          <w:lang w:val="en-GB"/>
        </w:rPr>
      </w:r>
      <w:r>
        <w:rPr>
          <w:lang w:val="en-GB"/>
        </w:rPr>
        <w:fldChar w:fldCharType="separate"/>
      </w:r>
      <w:r w:rsidR="000F03B3">
        <w:rPr>
          <w:lang w:val="en-GB"/>
        </w:rPr>
        <w:t>[2]</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AE403B" w14:paraId="69050E00" w14:textId="77777777" w:rsidTr="0056640E">
        <w:trPr>
          <w:jc w:val="center"/>
        </w:trPr>
        <w:tc>
          <w:tcPr>
            <w:tcW w:w="8655" w:type="dxa"/>
          </w:tcPr>
          <w:p w14:paraId="521AB28C" w14:textId="65408CEF" w:rsidR="00AE403B" w:rsidRDefault="00AE403B" w:rsidP="00AE403B"/>
          <w:p w14:paraId="786B9220" w14:textId="6678D618" w:rsidR="00AE403B" w:rsidRDefault="00AE403B" w:rsidP="00AE403B">
            <w:pPr>
              <w:jc w:val="center"/>
            </w:pPr>
            <w:r>
              <w:rPr>
                <w:noProof/>
              </w:rPr>
              <w:drawing>
                <wp:inline distT="0" distB="0" distL="0" distR="0" wp14:anchorId="33178388" wp14:editId="0FA1B286">
                  <wp:extent cx="5165551" cy="3217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2916" cy="3228361"/>
                          </a:xfrm>
                          <a:prstGeom prst="rect">
                            <a:avLst/>
                          </a:prstGeom>
                          <a:noFill/>
                        </pic:spPr>
                      </pic:pic>
                    </a:graphicData>
                  </a:graphic>
                </wp:inline>
              </w:drawing>
            </w:r>
          </w:p>
          <w:p w14:paraId="779813B2" w14:textId="77777777" w:rsidR="00AE403B" w:rsidRDefault="00AE403B" w:rsidP="00AE403B"/>
          <w:p w14:paraId="16F5A69A" w14:textId="5C660D57" w:rsidR="00AE403B" w:rsidRPr="00092349" w:rsidRDefault="00AE403B" w:rsidP="00AE403B">
            <w:pPr>
              <w:rPr>
                <w:lang w:val="en-GB"/>
              </w:rPr>
            </w:pPr>
          </w:p>
        </w:tc>
      </w:tr>
    </w:tbl>
    <w:p w14:paraId="512D9C39" w14:textId="5DC9D221" w:rsidR="00DC2E19" w:rsidRDefault="00DC2E19" w:rsidP="005C23A4">
      <w:pPr>
        <w:rPr>
          <w:lang w:val="en-GB"/>
        </w:rPr>
      </w:pPr>
    </w:p>
    <w:p w14:paraId="191194CD" w14:textId="591530DB" w:rsidR="00AE403B" w:rsidRDefault="00AE403B" w:rsidP="005C23A4">
      <w:pPr>
        <w:rPr>
          <w:lang w:val="en-GB"/>
        </w:rPr>
      </w:pPr>
      <w:r>
        <w:rPr>
          <w:lang w:val="en-GB"/>
        </w:rPr>
        <w:t>During the discussion in RAN4#95 a majority of companies was converging to the compromise solution of “option 2”.</w:t>
      </w:r>
      <w:r>
        <w:rPr>
          <w:lang w:val="en-GB"/>
        </w:rPr>
        <w:br/>
        <w:t xml:space="preserve">With two companies preferring option </w:t>
      </w:r>
      <w:r w:rsidR="002A0C28">
        <w:rPr>
          <w:lang w:val="en-GB"/>
        </w:rPr>
        <w:t>1c and</w:t>
      </w:r>
      <w:r>
        <w:rPr>
          <w:lang w:val="en-GB"/>
        </w:rPr>
        <w:t xml:space="preserve"> quoting at least </w:t>
      </w:r>
      <w:r w:rsidR="002A0C28">
        <w:rPr>
          <w:lang w:val="en-GB"/>
        </w:rPr>
        <w:t>the</w:t>
      </w:r>
      <w:r>
        <w:rPr>
          <w:lang w:val="en-GB"/>
        </w:rPr>
        <w:t xml:space="preserve"> </w:t>
      </w:r>
      <w:r w:rsidR="002A0C28">
        <w:rPr>
          <w:lang w:val="en-GB"/>
        </w:rPr>
        <w:t>aligned design</w:t>
      </w:r>
      <w:r>
        <w:rPr>
          <w:lang w:val="en-GB"/>
        </w:rPr>
        <w:t xml:space="preserve"> to the agreed HST PUSCH manufacturer declarations</w:t>
      </w:r>
      <w:r w:rsidR="002A0C28">
        <w:rPr>
          <w:lang w:val="en-GB"/>
        </w:rPr>
        <w:t xml:space="preserve"> as a reason</w:t>
      </w:r>
      <w:r>
        <w:rPr>
          <w:lang w:val="en-GB"/>
        </w:rPr>
        <w:t>.</w:t>
      </w:r>
    </w:p>
    <w:p w14:paraId="5EA180ED" w14:textId="6E8EED86" w:rsidR="00DC2E19" w:rsidRDefault="00AE403B" w:rsidP="005C23A4">
      <w:pPr>
        <w:rPr>
          <w:lang w:val="en-GB"/>
        </w:rPr>
      </w:pPr>
      <w:r>
        <w:rPr>
          <w:lang w:val="en-GB"/>
        </w:rPr>
        <w:t>It is our understanding that we previously agreed to declare PRACH HST support by feature and not by speed</w:t>
      </w:r>
      <w:r w:rsidR="002A0C28">
        <w:rPr>
          <w:lang w:val="en-GB"/>
        </w:rPr>
        <w:t xml:space="preserve"> </w:t>
      </w:r>
      <w:r w:rsidR="0056640E">
        <w:rPr>
          <w:lang w:val="en-GB"/>
        </w:rPr>
        <w:fldChar w:fldCharType="begin"/>
      </w:r>
      <w:r w:rsidR="0056640E">
        <w:rPr>
          <w:lang w:val="en-GB"/>
        </w:rPr>
        <w:instrText xml:space="preserve"> REF _Ref47101961 \n \h </w:instrText>
      </w:r>
      <w:r w:rsidR="0056640E">
        <w:rPr>
          <w:lang w:val="en-GB"/>
        </w:rPr>
      </w:r>
      <w:r w:rsidR="0056640E">
        <w:rPr>
          <w:lang w:val="en-GB"/>
        </w:rPr>
        <w:fldChar w:fldCharType="separate"/>
      </w:r>
      <w:r w:rsidR="000F03B3">
        <w:rPr>
          <w:lang w:val="en-GB"/>
        </w:rPr>
        <w:t>[4]</w:t>
      </w:r>
      <w:r w:rsidR="0056640E">
        <w:rPr>
          <w:lang w:val="en-GB"/>
        </w:rPr>
        <w:fldChar w:fldCharType="end"/>
      </w:r>
      <w:r w:rsidR="002A0C28">
        <w:rPr>
          <w:lang w:val="en-GB"/>
        </w:rPr>
        <w:t>:</w:t>
      </w:r>
    </w:p>
    <w:tbl>
      <w:tblPr>
        <w:tblStyle w:val="TableGrid"/>
        <w:tblW w:w="4500" w:type="pct"/>
        <w:jc w:val="center"/>
        <w:tblLook w:val="04A0" w:firstRow="1" w:lastRow="0" w:firstColumn="1" w:lastColumn="0" w:noHBand="0" w:noVBand="1"/>
      </w:tblPr>
      <w:tblGrid>
        <w:gridCol w:w="8655"/>
      </w:tblGrid>
      <w:tr w:rsidR="002A0C28" w14:paraId="766D6462" w14:textId="77777777" w:rsidTr="0056640E">
        <w:trPr>
          <w:jc w:val="center"/>
        </w:trPr>
        <w:tc>
          <w:tcPr>
            <w:tcW w:w="8655" w:type="dxa"/>
          </w:tcPr>
          <w:p w14:paraId="1D0E4161" w14:textId="77777777" w:rsidR="002A0C28" w:rsidRPr="002A0C28" w:rsidRDefault="002A0C28" w:rsidP="002A0C28">
            <w:pPr>
              <w:numPr>
                <w:ilvl w:val="0"/>
                <w:numId w:val="19"/>
              </w:numPr>
              <w:rPr>
                <w:lang w:val="en-GB"/>
              </w:rPr>
            </w:pPr>
            <w:r w:rsidRPr="002A0C28">
              <w:rPr>
                <w:lang w:val="en-GB"/>
              </w:rPr>
              <w:t>High speed support declaration for HST PRACH - speed or feature based</w:t>
            </w:r>
          </w:p>
          <w:p w14:paraId="34DBFC5E" w14:textId="2C31990A" w:rsidR="002A0C28" w:rsidRPr="002A0C28" w:rsidRDefault="002A0C28" w:rsidP="002A0C28">
            <w:pPr>
              <w:numPr>
                <w:ilvl w:val="1"/>
                <w:numId w:val="19"/>
              </w:numPr>
              <w:rPr>
                <w:lang w:val="en-GB"/>
              </w:rPr>
            </w:pPr>
            <w:r w:rsidRPr="002A0C28">
              <w:t xml:space="preserve">Allow BS to declare support for HST including [restricted set type A] and/or [restricted set type B] and/or [A2 for high speed mode] and/or [B4 for high speed mode] and/or [C2 for high speed mode] </w:t>
            </w:r>
          </w:p>
        </w:tc>
      </w:tr>
    </w:tbl>
    <w:p w14:paraId="5DB0F351" w14:textId="131FF6EA" w:rsidR="002A0C28" w:rsidRDefault="002A0C28" w:rsidP="002A0C28">
      <w:pPr>
        <w:rPr>
          <w:lang w:val="en-GB"/>
        </w:rPr>
      </w:pPr>
    </w:p>
    <w:p w14:paraId="7C237B67" w14:textId="0484727A" w:rsidR="00A1550B" w:rsidRDefault="00A1550B" w:rsidP="00A1550B">
      <w:pPr>
        <w:rPr>
          <w:lang w:val="en-GB"/>
        </w:rPr>
      </w:pPr>
      <w:r>
        <w:rPr>
          <w:lang w:val="en-GB"/>
        </w:rPr>
        <w:lastRenderedPageBreak/>
        <w:t xml:space="preserve">We also agree that, conditioned on the chosen centre frequencies for testing, long format PRACH represents testing at 350kph and short format PRACH exclusively represents testing at 500kph </w:t>
      </w:r>
      <w:r>
        <w:rPr>
          <w:lang w:val="en-GB"/>
        </w:rPr>
        <w:fldChar w:fldCharType="begin"/>
      </w:r>
      <w:r>
        <w:rPr>
          <w:lang w:val="en-GB"/>
        </w:rPr>
        <w:instrText xml:space="preserve"> REF _Ref47101961 \n \h </w:instrText>
      </w:r>
      <w:r>
        <w:rPr>
          <w:lang w:val="en-GB"/>
        </w:rPr>
      </w:r>
      <w:r>
        <w:rPr>
          <w:lang w:val="en-GB"/>
        </w:rPr>
        <w:fldChar w:fldCharType="separate"/>
      </w:r>
      <w:r w:rsidR="000F03B3">
        <w:rPr>
          <w:lang w:val="en-GB"/>
        </w:rPr>
        <w:t>[4]</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A1550B" w14:paraId="03D8BC63" w14:textId="77777777" w:rsidTr="000245D2">
        <w:trPr>
          <w:jc w:val="center"/>
        </w:trPr>
        <w:tc>
          <w:tcPr>
            <w:tcW w:w="8655" w:type="dxa"/>
          </w:tcPr>
          <w:p w14:paraId="1726D0CD" w14:textId="77777777" w:rsidR="00A1550B" w:rsidRPr="00A1550B" w:rsidRDefault="00A1550B" w:rsidP="00A1550B">
            <w:pPr>
              <w:numPr>
                <w:ilvl w:val="0"/>
                <w:numId w:val="20"/>
              </w:numPr>
              <w:rPr>
                <w:lang w:val="en-GB"/>
              </w:rPr>
            </w:pPr>
            <w:r w:rsidRPr="00A1550B">
              <w:t>PRACH format</w:t>
            </w:r>
          </w:p>
          <w:p w14:paraId="47250F48" w14:textId="77777777" w:rsidR="00A1550B" w:rsidRPr="00A1550B" w:rsidRDefault="00A1550B" w:rsidP="00A1550B">
            <w:pPr>
              <w:numPr>
                <w:ilvl w:val="1"/>
                <w:numId w:val="20"/>
              </w:numPr>
              <w:rPr>
                <w:lang w:val="en-GB"/>
              </w:rPr>
            </w:pPr>
            <w:r w:rsidRPr="00A1550B">
              <w:t>For 500km/h velocity, use PRACH format A2/B4/C2</w:t>
            </w:r>
          </w:p>
          <w:p w14:paraId="73C80995" w14:textId="77777777" w:rsidR="00A1550B" w:rsidRPr="00A1550B" w:rsidRDefault="00A1550B" w:rsidP="00A1550B">
            <w:pPr>
              <w:numPr>
                <w:ilvl w:val="1"/>
                <w:numId w:val="20"/>
              </w:numPr>
              <w:rPr>
                <w:lang w:val="en-GB"/>
              </w:rPr>
            </w:pPr>
            <w:r w:rsidRPr="00A1550B">
              <w:t>For 500km/h velocity, no extra requirements for PRACH format 0</w:t>
            </w:r>
          </w:p>
          <w:p w14:paraId="5C247D75" w14:textId="77777777" w:rsidR="00A1550B" w:rsidRPr="00A1550B" w:rsidRDefault="00A1550B" w:rsidP="00A1550B">
            <w:pPr>
              <w:numPr>
                <w:ilvl w:val="2"/>
                <w:numId w:val="20"/>
              </w:numPr>
              <w:rPr>
                <w:lang w:val="en-GB"/>
              </w:rPr>
            </w:pPr>
            <w:r w:rsidRPr="00A1550B">
              <w:t>Common understanding: PRACH format 0 with 2334Hz also shows UE with 500km/h at 1.9GHz can be supported</w:t>
            </w:r>
          </w:p>
          <w:p w14:paraId="665847CF" w14:textId="77777777" w:rsidR="00A1550B" w:rsidRPr="00A1550B" w:rsidRDefault="00A1550B" w:rsidP="00A1550B">
            <w:pPr>
              <w:numPr>
                <w:ilvl w:val="0"/>
                <w:numId w:val="20"/>
              </w:numPr>
              <w:rPr>
                <w:lang w:val="en-GB"/>
              </w:rPr>
            </w:pPr>
            <w:r w:rsidRPr="00A1550B">
              <w:t>Frequency offset under AWGN for PRACH format 0 for 350km/h</w:t>
            </w:r>
          </w:p>
          <w:p w14:paraId="63C7C17D" w14:textId="77777777" w:rsidR="00A1550B" w:rsidRPr="00A1550B" w:rsidRDefault="00A1550B" w:rsidP="00A1550B">
            <w:pPr>
              <w:numPr>
                <w:ilvl w:val="1"/>
                <w:numId w:val="20"/>
              </w:numPr>
              <w:rPr>
                <w:lang w:val="en-GB"/>
              </w:rPr>
            </w:pPr>
            <w:r w:rsidRPr="00A1550B">
              <w:t>Restricted set Type A</w:t>
            </w:r>
          </w:p>
          <w:p w14:paraId="0156CAD4" w14:textId="77777777" w:rsidR="00A1550B" w:rsidRPr="00A1550B" w:rsidRDefault="00A1550B" w:rsidP="00A1550B">
            <w:pPr>
              <w:numPr>
                <w:ilvl w:val="2"/>
                <w:numId w:val="20"/>
              </w:numPr>
              <w:rPr>
                <w:lang w:val="en-GB"/>
              </w:rPr>
            </w:pPr>
            <w:r w:rsidRPr="00A1550B">
              <w:t>High-mobility scenario: 1340Hz</w:t>
            </w:r>
          </w:p>
          <w:p w14:paraId="79AFE880" w14:textId="77777777" w:rsidR="00A1550B" w:rsidRPr="00A1550B" w:rsidRDefault="00A1550B" w:rsidP="00A1550B">
            <w:pPr>
              <w:numPr>
                <w:ilvl w:val="2"/>
                <w:numId w:val="20"/>
              </w:numPr>
              <w:rPr>
                <w:lang w:val="en-GB"/>
              </w:rPr>
            </w:pPr>
            <w:r w:rsidRPr="00A1550B">
              <w:t>Low- mobility scenario: 625Hz</w:t>
            </w:r>
          </w:p>
          <w:p w14:paraId="6C776D43" w14:textId="77777777" w:rsidR="00A1550B" w:rsidRPr="00A1550B" w:rsidRDefault="00A1550B" w:rsidP="00A1550B">
            <w:pPr>
              <w:numPr>
                <w:ilvl w:val="1"/>
                <w:numId w:val="20"/>
              </w:numPr>
              <w:rPr>
                <w:lang w:val="en-GB"/>
              </w:rPr>
            </w:pPr>
            <w:r w:rsidRPr="00A1550B">
              <w:t>Restricted set Type B</w:t>
            </w:r>
          </w:p>
          <w:p w14:paraId="3CA784F9" w14:textId="77777777" w:rsidR="00A1550B" w:rsidRPr="00A1550B" w:rsidRDefault="00A1550B" w:rsidP="00A1550B">
            <w:pPr>
              <w:numPr>
                <w:ilvl w:val="2"/>
                <w:numId w:val="20"/>
              </w:numPr>
              <w:rPr>
                <w:lang w:val="en-GB"/>
              </w:rPr>
            </w:pPr>
            <w:r w:rsidRPr="00A1550B">
              <w:t>High-mobility scenario: 2334Hz</w:t>
            </w:r>
          </w:p>
          <w:p w14:paraId="01A51203" w14:textId="77777777" w:rsidR="00A1550B" w:rsidRPr="00A1550B" w:rsidRDefault="00A1550B" w:rsidP="00A1550B">
            <w:pPr>
              <w:numPr>
                <w:ilvl w:val="2"/>
                <w:numId w:val="20"/>
              </w:numPr>
              <w:rPr>
                <w:lang w:val="en-GB"/>
              </w:rPr>
            </w:pPr>
            <w:r w:rsidRPr="00A1550B">
              <w:t>Low-mobility scenario: 625Hz</w:t>
            </w:r>
          </w:p>
          <w:p w14:paraId="34B0B07E" w14:textId="77777777" w:rsidR="00A1550B" w:rsidRPr="00A1550B" w:rsidRDefault="00A1550B" w:rsidP="00A1550B">
            <w:pPr>
              <w:numPr>
                <w:ilvl w:val="0"/>
                <w:numId w:val="20"/>
              </w:numPr>
              <w:rPr>
                <w:lang w:val="en-GB"/>
              </w:rPr>
            </w:pPr>
            <w:r w:rsidRPr="00A1550B">
              <w:t>Frequency offset under AWGN for PRACH formats with short sequence length targeting 500km/h</w:t>
            </w:r>
          </w:p>
          <w:p w14:paraId="1CABBF5B" w14:textId="24BBC911" w:rsidR="00A1550B" w:rsidRPr="00A1550B" w:rsidRDefault="00A1550B" w:rsidP="00A1550B">
            <w:pPr>
              <w:numPr>
                <w:ilvl w:val="1"/>
                <w:numId w:val="20"/>
              </w:numPr>
              <w:rPr>
                <w:lang w:val="en-GB"/>
              </w:rPr>
            </w:pPr>
            <w:r w:rsidRPr="00A1550B">
              <w:t>Align with PUSCH maximum Doppler shift</w:t>
            </w:r>
          </w:p>
        </w:tc>
      </w:tr>
    </w:tbl>
    <w:p w14:paraId="4C50204F" w14:textId="1E5EC4BD" w:rsidR="00A1550B" w:rsidRDefault="00A1550B" w:rsidP="002A0C28">
      <w:pPr>
        <w:rPr>
          <w:lang w:val="en-GB"/>
        </w:rPr>
      </w:pPr>
    </w:p>
    <w:p w14:paraId="12BF2D68" w14:textId="7C3E64AE" w:rsidR="00A1550B" w:rsidRDefault="00A1550B" w:rsidP="002A0C28">
      <w:pPr>
        <w:rPr>
          <w:lang w:val="en-GB"/>
        </w:rPr>
      </w:pPr>
      <w:r>
        <w:rPr>
          <w:lang w:val="en-GB"/>
        </w:rPr>
        <w:t>Hence, we observe:</w:t>
      </w:r>
    </w:p>
    <w:p w14:paraId="00A94EFE" w14:textId="7B83D5F3" w:rsidR="00A1550B" w:rsidRDefault="00A1550B" w:rsidP="00A1550B">
      <w:pPr>
        <w:pStyle w:val="RAN4observation0"/>
      </w:pPr>
      <w:r>
        <w:t>Declaration of HST scenario support alone does not suffice to distinguish 350kph and 500kph scenarios. To declare support for either one or the other speed, one needs to be able to declare HST scenario support independently for long and short formats.</w:t>
      </w:r>
    </w:p>
    <w:p w14:paraId="0BB3B528" w14:textId="3A5E77A0" w:rsidR="00A1550B" w:rsidRDefault="00A1550B" w:rsidP="00A1550B">
      <w:pPr>
        <w:rPr>
          <w:lang w:val="en-GB"/>
        </w:rPr>
      </w:pPr>
      <w:r>
        <w:rPr>
          <w:lang w:val="en-GB"/>
        </w:rPr>
        <w:t>It is our understanding that only option 2, offers this possibility to declare HST support separately for long and short preambles, hence:</w:t>
      </w:r>
    </w:p>
    <w:p w14:paraId="552015C8" w14:textId="686DA5A1" w:rsidR="00A1550B" w:rsidRPr="00A1550B" w:rsidRDefault="00A1550B" w:rsidP="00A1550B">
      <w:pPr>
        <w:pStyle w:val="RAN4proposal"/>
        <w:rPr>
          <w:lang w:val="en-GB"/>
        </w:rPr>
      </w:pPr>
      <w:r>
        <w:rPr>
          <w:lang w:val="en-GB"/>
        </w:rPr>
        <w:t xml:space="preserve">RAN4 to </w:t>
      </w:r>
      <w:r>
        <w:t>i</w:t>
      </w:r>
      <w:r w:rsidRPr="00A1550B">
        <w:t>nclude two new manufacturer declarations “PRACH high speed train long format support” and “PRACH high speed train short format support”,</w:t>
      </w:r>
      <w:r>
        <w:t xml:space="preserve"> i.e., follow option 2.</w:t>
      </w:r>
    </w:p>
    <w:p w14:paraId="52F207E5" w14:textId="2A25C8D7" w:rsidR="00AE403B" w:rsidRDefault="00AE403B" w:rsidP="005C23A4">
      <w:pPr>
        <w:rPr>
          <w:lang w:val="en-GB"/>
        </w:rPr>
      </w:pPr>
    </w:p>
    <w:p w14:paraId="0696A21F" w14:textId="77777777" w:rsidR="00AE403B" w:rsidRDefault="00AE403B" w:rsidP="005C23A4">
      <w:pPr>
        <w:rPr>
          <w:lang w:val="en-GB"/>
        </w:rPr>
      </w:pPr>
    </w:p>
    <w:p w14:paraId="341FD7DE" w14:textId="4D459461" w:rsidR="00DC2E19" w:rsidRDefault="00DC2E19" w:rsidP="00DC2E19">
      <w:pPr>
        <w:pStyle w:val="RAN4H2"/>
        <w:rPr>
          <w:lang w:val="en-GB"/>
        </w:rPr>
      </w:pPr>
      <w:r>
        <w:rPr>
          <w:lang w:val="en-GB"/>
        </w:rPr>
        <w:t xml:space="preserve">PRACH </w:t>
      </w:r>
      <w:r w:rsidRPr="00DC2E19">
        <w:rPr>
          <w:lang w:val="en-GB"/>
        </w:rPr>
        <w:t>Test applicability for short PRACH formats</w:t>
      </w:r>
    </w:p>
    <w:p w14:paraId="301E2E72" w14:textId="711B11AD" w:rsidR="00D76C97" w:rsidRDefault="00A1550B" w:rsidP="00D76C97">
      <w:pPr>
        <w:rPr>
          <w:lang w:val="en-GB"/>
        </w:rPr>
      </w:pPr>
      <w:r>
        <w:rPr>
          <w:lang w:val="en-GB"/>
        </w:rPr>
        <w:t xml:space="preserve">In the last meeting, the </w:t>
      </w:r>
      <w:r w:rsidR="00D76C97">
        <w:rPr>
          <w:lang w:val="en-GB"/>
        </w:rPr>
        <w:t xml:space="preserve">test applicability rules for restricted set type A and B were decided. During the discussion the question was raised, if a similar applicability rule would be required for short PRACH formats as well </w:t>
      </w:r>
      <w:r w:rsidR="00D76C97">
        <w:rPr>
          <w:lang w:val="en-GB"/>
        </w:rPr>
        <w:fldChar w:fldCharType="begin"/>
      </w:r>
      <w:r w:rsidR="00D76C97">
        <w:rPr>
          <w:lang w:val="en-GB"/>
        </w:rPr>
        <w:instrText xml:space="preserve"> REF _Ref46946904 \n \h </w:instrText>
      </w:r>
      <w:r w:rsidR="00D76C97">
        <w:rPr>
          <w:lang w:val="en-GB"/>
        </w:rPr>
      </w:r>
      <w:r w:rsidR="00D76C97">
        <w:rPr>
          <w:lang w:val="en-GB"/>
        </w:rPr>
        <w:fldChar w:fldCharType="separate"/>
      </w:r>
      <w:r w:rsidR="000F03B3">
        <w:rPr>
          <w:lang w:val="en-GB"/>
        </w:rPr>
        <w:t>[2]</w:t>
      </w:r>
      <w:r w:rsidR="00D76C97">
        <w:rPr>
          <w:lang w:val="en-GB"/>
        </w:rPr>
        <w:fldChar w:fldCharType="end"/>
      </w:r>
      <w:r w:rsidR="00D76C97">
        <w:rPr>
          <w:lang w:val="en-GB"/>
        </w:rPr>
        <w:t>:</w:t>
      </w:r>
    </w:p>
    <w:tbl>
      <w:tblPr>
        <w:tblStyle w:val="TableGrid"/>
        <w:tblW w:w="4500" w:type="pct"/>
        <w:jc w:val="center"/>
        <w:tblLook w:val="04A0" w:firstRow="1" w:lastRow="0" w:firstColumn="1" w:lastColumn="0" w:noHBand="0" w:noVBand="1"/>
      </w:tblPr>
      <w:tblGrid>
        <w:gridCol w:w="8655"/>
      </w:tblGrid>
      <w:tr w:rsidR="00D76C97" w14:paraId="68CB9F57" w14:textId="77777777" w:rsidTr="000245D2">
        <w:trPr>
          <w:jc w:val="center"/>
        </w:trPr>
        <w:tc>
          <w:tcPr>
            <w:tcW w:w="8655" w:type="dxa"/>
          </w:tcPr>
          <w:p w14:paraId="71DD2E34" w14:textId="77777777" w:rsidR="00D76C97" w:rsidRPr="00D76C97" w:rsidRDefault="00D76C97" w:rsidP="00D76C97">
            <w:pPr>
              <w:numPr>
                <w:ilvl w:val="0"/>
                <w:numId w:val="22"/>
              </w:numPr>
              <w:rPr>
                <w:lang w:val="en-GB"/>
              </w:rPr>
            </w:pPr>
            <w:r w:rsidRPr="00D76C97">
              <w:rPr>
                <w:lang w:val="en-GB"/>
              </w:rPr>
              <w:t>Test applicability for long PRACH format restricted set type A and B</w:t>
            </w:r>
          </w:p>
          <w:p w14:paraId="4D426F69" w14:textId="77777777" w:rsidR="00D76C97" w:rsidRPr="00D76C97" w:rsidRDefault="00D76C97" w:rsidP="00D76C97">
            <w:pPr>
              <w:numPr>
                <w:ilvl w:val="1"/>
                <w:numId w:val="22"/>
              </w:numPr>
              <w:rPr>
                <w:lang w:val="en-GB"/>
              </w:rPr>
            </w:pPr>
            <w:r w:rsidRPr="00D76C97">
              <w:rPr>
                <w:lang w:val="en-GB"/>
              </w:rPr>
              <w:t>Additionally, test applicability for long PRACH format restricted set type A and B needs to be defined if BS supports both types.</w:t>
            </w:r>
          </w:p>
          <w:p w14:paraId="08B8E5FD" w14:textId="77777777" w:rsidR="00D76C97" w:rsidRPr="00D76C97" w:rsidRDefault="00D76C97" w:rsidP="00D76C97">
            <w:pPr>
              <w:numPr>
                <w:ilvl w:val="2"/>
                <w:numId w:val="22"/>
              </w:numPr>
              <w:rPr>
                <w:lang w:val="en-GB"/>
              </w:rPr>
            </w:pPr>
            <w:r w:rsidRPr="00D76C97">
              <w:rPr>
                <w:lang w:val="en-GB"/>
              </w:rPr>
              <w:t>8.1.2.1.x Applicability of requirements for different restricted set types of long PRACH format 0</w:t>
            </w:r>
            <w:r w:rsidRPr="00D76C97">
              <w:rPr>
                <w:lang w:val="en-GB"/>
              </w:rPr>
              <w:br/>
            </w:r>
            <w:r w:rsidRPr="00D76C97">
              <w:rPr>
                <w:lang w:val="en-GB"/>
              </w:rPr>
              <w:br/>
              <w:t>Unless otherwise stated, PRACH requirement tests for long PRACH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71FF4374" w14:textId="381F54C7" w:rsidR="00D76C97" w:rsidRPr="00D76C97" w:rsidRDefault="00D76C97" w:rsidP="00D76C97">
            <w:pPr>
              <w:numPr>
                <w:ilvl w:val="1"/>
                <w:numId w:val="22"/>
              </w:numPr>
              <w:rPr>
                <w:lang w:val="en-GB"/>
              </w:rPr>
            </w:pPr>
            <w:r w:rsidRPr="00D76C97">
              <w:rPr>
                <w:highlight w:val="cyan"/>
                <w:lang w:val="en-GB"/>
              </w:rPr>
              <w:t xml:space="preserve">Companies are encouraged to evaluate, if a similar test applicability rule is required for PRACH </w:t>
            </w:r>
            <w:r w:rsidRPr="00D76C97">
              <w:rPr>
                <w:highlight w:val="cyan"/>
              </w:rPr>
              <w:t>short format (for BS supporting multiple short formats).</w:t>
            </w:r>
          </w:p>
        </w:tc>
      </w:tr>
    </w:tbl>
    <w:p w14:paraId="6BFCB98E" w14:textId="64E5F045" w:rsidR="00DC2E19" w:rsidRDefault="00DC2E19" w:rsidP="005C23A4">
      <w:pPr>
        <w:rPr>
          <w:lang w:val="en-GB"/>
        </w:rPr>
      </w:pPr>
    </w:p>
    <w:p w14:paraId="643F750F" w14:textId="34CA1D87" w:rsidR="00FD61BA" w:rsidRDefault="009360B3" w:rsidP="005C23A4">
      <w:pPr>
        <w:rPr>
          <w:lang w:val="en-GB"/>
        </w:rPr>
      </w:pPr>
      <w:r>
        <w:rPr>
          <w:lang w:val="en-GB"/>
        </w:rPr>
        <w:t xml:space="preserve">We recognize the same “issue” is also present in short PRACH, a BS that declares to support A2, B4, and C2, will need to pass all the tests to be compliant. This is the same behaviour as explicitly captured for non-HST PRACH </w:t>
      </w:r>
      <w:r>
        <w:rPr>
          <w:lang w:val="en-GB"/>
        </w:rPr>
        <w:fldChar w:fldCharType="begin"/>
      </w:r>
      <w:r>
        <w:rPr>
          <w:lang w:val="en-GB"/>
        </w:rPr>
        <w:instrText xml:space="preserve"> REF _Ref47105073 \n \h </w:instrText>
      </w:r>
      <w:r>
        <w:rPr>
          <w:lang w:val="en-GB"/>
        </w:rPr>
      </w:r>
      <w:r>
        <w:rPr>
          <w:lang w:val="en-GB"/>
        </w:rPr>
        <w:fldChar w:fldCharType="separate"/>
      </w:r>
      <w:r w:rsidR="000F03B3">
        <w:rPr>
          <w:lang w:val="en-GB"/>
        </w:rPr>
        <w:t>[5]</w:t>
      </w:r>
      <w:r>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9360B3" w14:paraId="58AD4690" w14:textId="77777777" w:rsidTr="000245D2">
        <w:trPr>
          <w:jc w:val="center"/>
        </w:trPr>
        <w:tc>
          <w:tcPr>
            <w:tcW w:w="8655" w:type="dxa"/>
          </w:tcPr>
          <w:p w14:paraId="255FB5E5" w14:textId="77777777" w:rsidR="009360B3" w:rsidRDefault="009360B3" w:rsidP="009360B3">
            <w:pPr>
              <w:pStyle w:val="Default"/>
              <w:rPr>
                <w:sz w:val="22"/>
                <w:szCs w:val="22"/>
              </w:rPr>
            </w:pPr>
            <w:r>
              <w:rPr>
                <w:sz w:val="22"/>
                <w:szCs w:val="22"/>
              </w:rPr>
              <w:t xml:space="preserve">8.1.2.3.1 Applicability of requirements for different formats </w:t>
            </w:r>
          </w:p>
          <w:p w14:paraId="77C4EC61" w14:textId="63D1D4F3" w:rsidR="009360B3" w:rsidRPr="00D76C97" w:rsidRDefault="009360B3" w:rsidP="009360B3">
            <w:pPr>
              <w:rPr>
                <w:lang w:val="en-GB"/>
              </w:rPr>
            </w:pPr>
            <w:r>
              <w:rPr>
                <w:rFonts w:cs="Times New Roman"/>
                <w:szCs w:val="20"/>
              </w:rPr>
              <w:t xml:space="preserve">Unless otherwise stated, PRACH requirement tests shall apply only for </w:t>
            </w:r>
            <w:r w:rsidRPr="009360B3">
              <w:rPr>
                <w:rFonts w:cs="Times New Roman"/>
                <w:szCs w:val="20"/>
                <w:highlight w:val="cyan"/>
              </w:rPr>
              <w:t>each</w:t>
            </w:r>
            <w:r>
              <w:rPr>
                <w:rFonts w:cs="Times New Roman"/>
                <w:szCs w:val="20"/>
              </w:rPr>
              <w:t xml:space="preserve"> PRACH format declared to be supported (see D.103 in table 4.6-1).</w:t>
            </w:r>
          </w:p>
        </w:tc>
      </w:tr>
    </w:tbl>
    <w:p w14:paraId="4DA8954D" w14:textId="577493F2" w:rsidR="009360B3" w:rsidRDefault="009360B3" w:rsidP="005C23A4">
      <w:pPr>
        <w:rPr>
          <w:lang w:val="en-GB"/>
        </w:rPr>
      </w:pPr>
    </w:p>
    <w:p w14:paraId="2E5C971D" w14:textId="6DD9B4EF" w:rsidR="009360B3" w:rsidRDefault="009360B3" w:rsidP="005C23A4">
      <w:pPr>
        <w:rPr>
          <w:lang w:val="en-GB"/>
        </w:rPr>
      </w:pPr>
      <w:r>
        <w:rPr>
          <w:lang w:val="en-GB"/>
        </w:rPr>
        <w:lastRenderedPageBreak/>
        <w:t>Hence,</w:t>
      </w:r>
    </w:p>
    <w:p w14:paraId="652234BC" w14:textId="001CD123" w:rsidR="009360B3" w:rsidRDefault="009360B3" w:rsidP="009360B3">
      <w:pPr>
        <w:pStyle w:val="RAN4observation0"/>
      </w:pPr>
      <w:r>
        <w:t>A</w:t>
      </w:r>
      <w:r w:rsidRPr="009360B3">
        <w:t xml:space="preserve"> BS that declares to support A2, B4, and C2, will need to pass all the tests to be compliant</w:t>
      </w:r>
      <w:r>
        <w:t>. This is in line with the non-HST tests.</w:t>
      </w:r>
    </w:p>
    <w:p w14:paraId="4017D21B" w14:textId="50BB0644" w:rsidR="00FD61BA" w:rsidRDefault="009360B3" w:rsidP="009360B3">
      <w:pPr>
        <w:pStyle w:val="RAN4proposal"/>
        <w:rPr>
          <w:lang w:val="en-GB"/>
        </w:rPr>
      </w:pPr>
      <w:r>
        <w:rPr>
          <w:lang w:val="en-GB"/>
        </w:rPr>
        <w:t>RAN4 to not specify an additional test applicability rule for HST short PRACH.</w:t>
      </w:r>
    </w:p>
    <w:p w14:paraId="08AE88DC" w14:textId="477BB6C8" w:rsidR="00FD61BA" w:rsidRDefault="00B71FD3" w:rsidP="005C23A4">
      <w:pPr>
        <w:rPr>
          <w:lang w:val="en-GB"/>
        </w:rPr>
      </w:pPr>
      <w:r>
        <w:rPr>
          <w:lang w:val="en-GB"/>
        </w:rPr>
        <w:t>However, or opinion on this topic is not very strong.</w:t>
      </w:r>
    </w:p>
    <w:p w14:paraId="66BC73C2" w14:textId="66B1C226" w:rsidR="00FD61BA" w:rsidRDefault="00FD61BA" w:rsidP="005C23A4">
      <w:pPr>
        <w:rPr>
          <w:lang w:val="en-GB"/>
        </w:rPr>
      </w:pPr>
    </w:p>
    <w:p w14:paraId="4C72227E" w14:textId="77777777" w:rsidR="00FD61BA" w:rsidRDefault="00FD61BA" w:rsidP="005C23A4">
      <w:pPr>
        <w:rPr>
          <w:lang w:val="en-GB"/>
        </w:rPr>
      </w:pPr>
    </w:p>
    <w:p w14:paraId="5ED95D6B" w14:textId="53E1BBE5" w:rsidR="00244CF2" w:rsidRDefault="00244CF2" w:rsidP="005C23A4">
      <w:pPr>
        <w:rPr>
          <w:lang w:val="en-GB"/>
        </w:rPr>
      </w:pPr>
    </w:p>
    <w:p w14:paraId="7FB5D6AC" w14:textId="77777777" w:rsidR="00C21ADB" w:rsidRPr="0028713C" w:rsidRDefault="00C21ADB" w:rsidP="00C21ADB">
      <w:pPr>
        <w:pStyle w:val="RAN4H1"/>
      </w:pPr>
      <w:r w:rsidRPr="0028713C">
        <w:t>Conclusion</w:t>
      </w:r>
    </w:p>
    <w:p w14:paraId="7DF97CE5" w14:textId="21FAA22B" w:rsidR="00C21ADB" w:rsidRPr="00B71FD3" w:rsidRDefault="00C21ADB" w:rsidP="00C21ADB">
      <w:pPr>
        <w:rPr>
          <w:lang w:val="en-GB"/>
        </w:rPr>
      </w:pPr>
      <w:r w:rsidRPr="00B71FD3">
        <w:rPr>
          <w:lang w:val="en-GB"/>
        </w:rPr>
        <w:t xml:space="preserve">In this contribution we have provided our views on various open </w:t>
      </w:r>
      <w:r w:rsidR="00B71FD3" w:rsidRPr="00B71FD3">
        <w:rPr>
          <w:lang w:val="en-GB"/>
        </w:rPr>
        <w:t>PRACH</w:t>
      </w:r>
      <w:r w:rsidRPr="00B71FD3">
        <w:rPr>
          <w:lang w:val="en-GB"/>
        </w:rPr>
        <w:t xml:space="preserve"> HST issues. In particular, </w:t>
      </w:r>
      <w:r w:rsidR="00B71FD3" w:rsidRPr="00B71FD3">
        <w:rPr>
          <w:lang w:val="en-GB"/>
        </w:rPr>
        <w:t>TDLC300-100, manufacturer declarations, and test applicability for short PRACH</w:t>
      </w:r>
      <w:r w:rsidRPr="00B71FD3">
        <w:rPr>
          <w:lang w:val="en-GB"/>
        </w:rPr>
        <w:t>.</w:t>
      </w:r>
      <w:r w:rsidRPr="00B71FD3">
        <w:rPr>
          <w:lang w:val="en-GB"/>
        </w:rPr>
        <w:br/>
        <w:t>We have made the following observations and proposals:</w:t>
      </w:r>
    </w:p>
    <w:p w14:paraId="70456F2B" w14:textId="32C6C20D" w:rsidR="00DC2E19" w:rsidRDefault="00DC2E19" w:rsidP="00C21ADB">
      <w:pPr>
        <w:rPr>
          <w:lang w:val="en-GB"/>
        </w:rPr>
      </w:pPr>
    </w:p>
    <w:p w14:paraId="3BD9DAD7" w14:textId="77777777" w:rsidR="00DC2E19" w:rsidRPr="00DC2E19" w:rsidRDefault="00DC2E19" w:rsidP="00DC2E19">
      <w:pPr>
        <w:rPr>
          <w:u w:val="single"/>
          <w:lang w:val="en-GB"/>
        </w:rPr>
      </w:pPr>
      <w:r w:rsidRPr="00DC2E19">
        <w:rPr>
          <w:u w:val="single"/>
          <w:lang w:val="en-GB"/>
        </w:rPr>
        <w:t>PRACH TDLC300-100 propagation conditions for long preamble formats</w:t>
      </w:r>
    </w:p>
    <w:p w14:paraId="5FE6C5AB" w14:textId="77777777" w:rsidR="000F03B3" w:rsidRDefault="000F03B3" w:rsidP="000F03B3">
      <w:pPr>
        <w:pStyle w:val="RAN4Observation"/>
        <w:numPr>
          <w:ilvl w:val="0"/>
          <w:numId w:val="27"/>
        </w:numPr>
      </w:pPr>
      <w:r>
        <w:t>Receiver i</w:t>
      </w:r>
      <w:r w:rsidRPr="00A87FE7">
        <w:t>mplementations that use optimized PDP combination can achieve higher PRACH performance for restricted set over unrestricted sets</w:t>
      </w:r>
      <w:r>
        <w:t xml:space="preserve">, given the exact same preamble and propagation condition. The effect varies depending on which exact preamble is chosen. </w:t>
      </w:r>
    </w:p>
    <w:p w14:paraId="0BE934C9" w14:textId="77777777" w:rsidR="000F03B3" w:rsidRPr="000F03B3" w:rsidRDefault="000F03B3" w:rsidP="000F03B3">
      <w:pPr>
        <w:pStyle w:val="RAN4proposal"/>
        <w:numPr>
          <w:ilvl w:val="0"/>
          <w:numId w:val="26"/>
        </w:numPr>
        <w:rPr>
          <w:lang w:val="en-GB"/>
        </w:rPr>
      </w:pPr>
      <w:r w:rsidRPr="000F03B3">
        <w:rPr>
          <w:lang w:val="en-GB"/>
        </w:rPr>
        <w:t>Introduce TDLC300-100 for PRACH restricted set type A and B, as the Rel-15 TDLC300-100 unrestricted set requirements do not represent the restricted set enabled performance.</w:t>
      </w:r>
    </w:p>
    <w:p w14:paraId="63DF2DF0" w14:textId="77777777" w:rsidR="00DC2E19" w:rsidRDefault="00DC2E19" w:rsidP="00DC2E19">
      <w:pPr>
        <w:rPr>
          <w:lang w:val="en-GB"/>
        </w:rPr>
      </w:pPr>
    </w:p>
    <w:p w14:paraId="56B6389D" w14:textId="77777777" w:rsidR="00DC2E19" w:rsidRPr="00DC2E19" w:rsidRDefault="00DC2E19" w:rsidP="00DC2E19">
      <w:pPr>
        <w:rPr>
          <w:u w:val="single"/>
          <w:lang w:val="en-GB"/>
        </w:rPr>
      </w:pPr>
      <w:r w:rsidRPr="00DC2E19">
        <w:rPr>
          <w:u w:val="single"/>
          <w:lang w:val="en-GB"/>
        </w:rPr>
        <w:t>PRACH Manufacturer declaration</w:t>
      </w:r>
    </w:p>
    <w:p w14:paraId="47D5C10E" w14:textId="77777777" w:rsidR="00B71FD3" w:rsidRDefault="00B71FD3" w:rsidP="00B71FD3">
      <w:pPr>
        <w:pStyle w:val="RAN4observation0"/>
      </w:pPr>
      <w:r>
        <w:t>Declaration of HST scenario support alone does not suffice to distinguish 350kph and 500kph scenarios. To declare support for either one or the other speed, one needs to be able to declare HST scenario support independently for long and short formats.</w:t>
      </w:r>
    </w:p>
    <w:p w14:paraId="44AA1D0B" w14:textId="3FF86E83" w:rsidR="00DC2E19" w:rsidRPr="00B71FD3" w:rsidRDefault="00B71FD3" w:rsidP="00DC2E19">
      <w:pPr>
        <w:pStyle w:val="RAN4proposal"/>
        <w:rPr>
          <w:lang w:val="en-GB"/>
        </w:rPr>
      </w:pPr>
      <w:r>
        <w:rPr>
          <w:lang w:val="en-GB"/>
        </w:rPr>
        <w:t xml:space="preserve">RAN4 to </w:t>
      </w:r>
      <w:r>
        <w:t>i</w:t>
      </w:r>
      <w:r w:rsidRPr="00A1550B">
        <w:t>nclude two new manufacturer declarations “PRACH high speed train long format support” and “PRACH high speed train short format support”,</w:t>
      </w:r>
      <w:r>
        <w:t xml:space="preserve"> i.e., follow option 2.</w:t>
      </w:r>
    </w:p>
    <w:p w14:paraId="4D290B62" w14:textId="77777777" w:rsidR="00DC2E19" w:rsidRDefault="00DC2E19" w:rsidP="00DC2E19">
      <w:pPr>
        <w:rPr>
          <w:lang w:val="en-GB"/>
        </w:rPr>
      </w:pPr>
    </w:p>
    <w:p w14:paraId="3AA68705" w14:textId="77777777" w:rsidR="00DC2E19" w:rsidRPr="00DC2E19" w:rsidRDefault="00DC2E19" w:rsidP="00DC2E19">
      <w:pPr>
        <w:rPr>
          <w:u w:val="single"/>
          <w:lang w:val="en-GB"/>
        </w:rPr>
      </w:pPr>
      <w:r w:rsidRPr="00DC2E19">
        <w:rPr>
          <w:u w:val="single"/>
          <w:lang w:val="en-GB"/>
        </w:rPr>
        <w:t>PRACH Test applicability for short PRACH formats</w:t>
      </w:r>
    </w:p>
    <w:p w14:paraId="40DD8EC5" w14:textId="77777777" w:rsidR="00B71FD3" w:rsidRDefault="00B71FD3" w:rsidP="00B71FD3">
      <w:pPr>
        <w:pStyle w:val="RAN4observation0"/>
      </w:pPr>
      <w:r>
        <w:t>A</w:t>
      </w:r>
      <w:r w:rsidRPr="009360B3">
        <w:t xml:space="preserve"> BS that declares to support A2, B4, and C2, will need to pass all the tests to be compliant</w:t>
      </w:r>
      <w:r>
        <w:t>. This is in line with the non-HST tests.</w:t>
      </w:r>
    </w:p>
    <w:p w14:paraId="0EBAF303" w14:textId="77777777" w:rsidR="00B71FD3" w:rsidRDefault="00B71FD3" w:rsidP="00B71FD3">
      <w:pPr>
        <w:pStyle w:val="RAN4proposal"/>
        <w:rPr>
          <w:lang w:val="en-GB"/>
        </w:rPr>
      </w:pPr>
      <w:r>
        <w:rPr>
          <w:lang w:val="en-GB"/>
        </w:rPr>
        <w:t>RAN4 to not specify an additional test applicability rule for HST short PRACH.</w:t>
      </w:r>
    </w:p>
    <w:p w14:paraId="0E0F4943" w14:textId="4E3D013F" w:rsidR="00DC2E19" w:rsidRDefault="00DC2E19" w:rsidP="00C21ADB">
      <w:pPr>
        <w:rPr>
          <w:lang w:val="en-GB"/>
        </w:rPr>
      </w:pPr>
    </w:p>
    <w:p w14:paraId="1565A302" w14:textId="77777777" w:rsidR="00B71FD3" w:rsidRDefault="00B71FD3" w:rsidP="00C21ADB">
      <w:pPr>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6E6F92B5" w14:textId="03811641" w:rsidR="00A75638" w:rsidRDefault="00A75638" w:rsidP="005E0AD9">
      <w:pPr>
        <w:pStyle w:val="ListParagraph"/>
        <w:numPr>
          <w:ilvl w:val="0"/>
          <w:numId w:val="7"/>
        </w:numPr>
        <w:ind w:right="-22"/>
        <w:rPr>
          <w:lang w:val="en-GB"/>
        </w:rPr>
      </w:pPr>
      <w:bookmarkStart w:id="6" w:name="_Ref46946874"/>
      <w:r w:rsidRPr="00A75638">
        <w:rPr>
          <w:lang w:val="en-GB"/>
        </w:rPr>
        <w:t>R4-2009042</w:t>
      </w:r>
      <w:r>
        <w:rPr>
          <w:lang w:val="en-GB"/>
        </w:rPr>
        <w:t xml:space="preserve">, </w:t>
      </w:r>
      <w:r w:rsidRPr="00A75638">
        <w:rPr>
          <w:lang w:val="en-GB"/>
        </w:rPr>
        <w:t xml:space="preserve">Email discussion summary for [95e][322] </w:t>
      </w:r>
      <w:proofErr w:type="spellStart"/>
      <w:r w:rsidRPr="00A75638">
        <w:rPr>
          <w:lang w:val="en-GB"/>
        </w:rPr>
        <w:t>NR_HST_Demod_BS</w:t>
      </w:r>
      <w:proofErr w:type="spellEnd"/>
      <w:r>
        <w:rPr>
          <w:lang w:val="en-GB"/>
        </w:rPr>
        <w:t xml:space="preserve">, </w:t>
      </w:r>
      <w:r w:rsidRPr="00A75638">
        <w:rPr>
          <w:lang w:val="en-GB"/>
        </w:rPr>
        <w:t>Moderator (Nokia, Nokia Shanghai Bell)</w:t>
      </w:r>
      <w:r>
        <w:rPr>
          <w:lang w:val="en-GB"/>
        </w:rPr>
        <w:t>, RAN4#95-e.</w:t>
      </w:r>
      <w:bookmarkEnd w:id="6"/>
    </w:p>
    <w:p w14:paraId="0A3F619B" w14:textId="4B6191F5" w:rsidR="00A75638" w:rsidRDefault="00A75638" w:rsidP="005E0AD9">
      <w:pPr>
        <w:pStyle w:val="ListParagraph"/>
        <w:numPr>
          <w:ilvl w:val="0"/>
          <w:numId w:val="7"/>
        </w:numPr>
        <w:ind w:right="-22"/>
        <w:rPr>
          <w:lang w:val="en-GB"/>
        </w:rPr>
      </w:pPr>
      <w:bookmarkStart w:id="7" w:name="_Ref46946904"/>
      <w:r w:rsidRPr="00A75638">
        <w:rPr>
          <w:lang w:val="en-GB"/>
        </w:rPr>
        <w:lastRenderedPageBreak/>
        <w:t>R4-2008821, WF on Rel-16 NR HST PUSCH BS demodulation requirements, Nokia, Nokia Shanghai Bell, RAN4#9</w:t>
      </w:r>
      <w:r>
        <w:rPr>
          <w:lang w:val="en-GB"/>
        </w:rPr>
        <w:t>5</w:t>
      </w:r>
      <w:r w:rsidRPr="00A75638">
        <w:rPr>
          <w:lang w:val="en-GB"/>
        </w:rPr>
        <w:t>-e</w:t>
      </w:r>
      <w:r>
        <w:rPr>
          <w:lang w:val="en-GB"/>
        </w:rPr>
        <w:t>.</w:t>
      </w:r>
      <w:bookmarkEnd w:id="7"/>
    </w:p>
    <w:p w14:paraId="79294063" w14:textId="05C8D4ED" w:rsidR="00513F64" w:rsidRDefault="00513F64" w:rsidP="005E0AD9">
      <w:pPr>
        <w:pStyle w:val="ListParagraph"/>
        <w:numPr>
          <w:ilvl w:val="0"/>
          <w:numId w:val="7"/>
        </w:numPr>
        <w:ind w:right="-22"/>
        <w:rPr>
          <w:lang w:val="en-GB"/>
        </w:rPr>
      </w:pPr>
      <w:bookmarkStart w:id="8" w:name="_Ref47092241"/>
      <w:r w:rsidRPr="00513F64">
        <w:rPr>
          <w:lang w:val="en-GB"/>
        </w:rPr>
        <w:t>R4-2007207</w:t>
      </w:r>
      <w:r>
        <w:rPr>
          <w:lang w:val="en-GB"/>
        </w:rPr>
        <w:t xml:space="preserve">, </w:t>
      </w:r>
      <w:r w:rsidRPr="00513F64">
        <w:rPr>
          <w:lang w:val="en-GB"/>
        </w:rPr>
        <w:t>Discussion on the open issue for NR HST PRACH</w:t>
      </w:r>
      <w:r>
        <w:rPr>
          <w:lang w:val="en-GB"/>
        </w:rPr>
        <w:t xml:space="preserve">, </w:t>
      </w:r>
      <w:r w:rsidRPr="00513F64">
        <w:rPr>
          <w:lang w:val="en-GB"/>
        </w:rPr>
        <w:t xml:space="preserve">Huawei, </w:t>
      </w:r>
      <w:proofErr w:type="spellStart"/>
      <w:r w:rsidRPr="00513F64">
        <w:rPr>
          <w:lang w:val="en-GB"/>
        </w:rPr>
        <w:t>HiSilicon</w:t>
      </w:r>
      <w:proofErr w:type="spellEnd"/>
      <w:r>
        <w:rPr>
          <w:lang w:val="en-GB"/>
        </w:rPr>
        <w:t xml:space="preserve">, </w:t>
      </w:r>
      <w:r w:rsidRPr="00513F64">
        <w:rPr>
          <w:lang w:val="en-GB"/>
        </w:rPr>
        <w:t>RAN4#95-e.</w:t>
      </w:r>
      <w:bookmarkEnd w:id="8"/>
    </w:p>
    <w:p w14:paraId="4E3A05D5" w14:textId="2315463C" w:rsidR="002A0C28" w:rsidRPr="009360B3" w:rsidRDefault="002A0C28" w:rsidP="002A0C28">
      <w:pPr>
        <w:pStyle w:val="ListParagraph"/>
        <w:numPr>
          <w:ilvl w:val="0"/>
          <w:numId w:val="7"/>
        </w:numPr>
        <w:ind w:right="-22"/>
      </w:pPr>
      <w:bookmarkStart w:id="9" w:name="_Ref47101961"/>
      <w:r>
        <w:rPr>
          <w:lang w:val="en-GB"/>
        </w:rPr>
        <w:t xml:space="preserve">R4-2005535, </w:t>
      </w:r>
      <w:r w:rsidRPr="002A0C28">
        <w:t>Way forward on Rel-16 NR HST PRACH BS demodulation requirement</w:t>
      </w:r>
      <w:r>
        <w:t xml:space="preserve">, </w:t>
      </w:r>
      <w:r w:rsidRPr="002A0C28">
        <w:t xml:space="preserve">Huawei, </w:t>
      </w:r>
      <w:proofErr w:type="spellStart"/>
      <w:r w:rsidRPr="002A0C28">
        <w:t>HiSilicon</w:t>
      </w:r>
      <w:proofErr w:type="spellEnd"/>
      <w:r>
        <w:t xml:space="preserve">, </w:t>
      </w:r>
      <w:r w:rsidRPr="00A75638">
        <w:rPr>
          <w:lang w:val="en-GB"/>
        </w:rPr>
        <w:t>RAN4#9</w:t>
      </w:r>
      <w:r>
        <w:rPr>
          <w:lang w:val="en-GB"/>
        </w:rPr>
        <w:t>4-bis</w:t>
      </w:r>
      <w:r w:rsidRPr="00A75638">
        <w:rPr>
          <w:lang w:val="en-GB"/>
        </w:rPr>
        <w:t>-e</w:t>
      </w:r>
      <w:r>
        <w:rPr>
          <w:lang w:val="en-GB"/>
        </w:rPr>
        <w:t>.</w:t>
      </w:r>
      <w:bookmarkEnd w:id="9"/>
    </w:p>
    <w:p w14:paraId="1EA2C882" w14:textId="77777777" w:rsidR="009360B3" w:rsidRPr="009360B3" w:rsidRDefault="009360B3" w:rsidP="009360B3">
      <w:pPr>
        <w:pStyle w:val="ListParagraph"/>
        <w:numPr>
          <w:ilvl w:val="0"/>
          <w:numId w:val="7"/>
        </w:numPr>
      </w:pPr>
      <w:bookmarkStart w:id="10" w:name="_Ref47105073"/>
      <w:r w:rsidRPr="009360B3">
        <w:t>TS 38.141-1, V16.4.0, NR; Base Station (BS) conformance testing Part 1: Conducted conformance testing.</w:t>
      </w:r>
      <w:bookmarkEnd w:id="10"/>
    </w:p>
    <w:p w14:paraId="37EF2252" w14:textId="77777777" w:rsidR="00B6418A" w:rsidRPr="00792CAE" w:rsidRDefault="00B6418A" w:rsidP="00B6418A">
      <w:pPr>
        <w:pStyle w:val="ListParagraph"/>
        <w:ind w:left="360" w:right="-22"/>
        <w:rPr>
          <w:color w:val="FF0000"/>
          <w:lang w:val="en-GB"/>
        </w:rPr>
      </w:pPr>
    </w:p>
    <w:sectPr w:rsidR="00B6418A" w:rsidRPr="00792CA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56640E" w:rsidRDefault="0056640E" w:rsidP="00001C9B">
      <w:pPr>
        <w:spacing w:after="0" w:line="240" w:lineRule="auto"/>
      </w:pPr>
      <w:r>
        <w:separator/>
      </w:r>
    </w:p>
  </w:endnote>
  <w:endnote w:type="continuationSeparator" w:id="0">
    <w:p w14:paraId="3700E4D0" w14:textId="77777777" w:rsidR="0056640E" w:rsidRDefault="0056640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56640E" w:rsidRDefault="0056640E" w:rsidP="00001C9B">
      <w:pPr>
        <w:spacing w:after="0" w:line="240" w:lineRule="auto"/>
      </w:pPr>
      <w:r>
        <w:separator/>
      </w:r>
    </w:p>
  </w:footnote>
  <w:footnote w:type="continuationSeparator" w:id="0">
    <w:p w14:paraId="3D6C4CF4" w14:textId="77777777" w:rsidR="0056640E" w:rsidRDefault="0056640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2211D"/>
    <w:multiLevelType w:val="hybridMultilevel"/>
    <w:tmpl w:val="296EC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346A0"/>
    <w:multiLevelType w:val="hybridMultilevel"/>
    <w:tmpl w:val="61325850"/>
    <w:lvl w:ilvl="0" w:tplc="5510CCDA">
      <w:start w:val="1"/>
      <w:numFmt w:val="bullet"/>
      <w:lvlText w:val="•"/>
      <w:lvlJc w:val="left"/>
      <w:pPr>
        <w:tabs>
          <w:tab w:val="num" w:pos="720"/>
        </w:tabs>
        <w:ind w:left="720" w:hanging="360"/>
      </w:pPr>
      <w:rPr>
        <w:rFonts w:ascii="Arial" w:hAnsi="Arial" w:hint="default"/>
      </w:rPr>
    </w:lvl>
    <w:lvl w:ilvl="1" w:tplc="5790C154">
      <w:start w:val="217"/>
      <w:numFmt w:val="bullet"/>
      <w:lvlText w:val="–"/>
      <w:lvlJc w:val="left"/>
      <w:pPr>
        <w:tabs>
          <w:tab w:val="num" w:pos="1440"/>
        </w:tabs>
        <w:ind w:left="1440" w:hanging="360"/>
      </w:pPr>
      <w:rPr>
        <w:rFonts w:ascii="Arial" w:hAnsi="Arial" w:hint="default"/>
      </w:rPr>
    </w:lvl>
    <w:lvl w:ilvl="2" w:tplc="37E4706C" w:tentative="1">
      <w:start w:val="1"/>
      <w:numFmt w:val="bullet"/>
      <w:lvlText w:val="•"/>
      <w:lvlJc w:val="left"/>
      <w:pPr>
        <w:tabs>
          <w:tab w:val="num" w:pos="2160"/>
        </w:tabs>
        <w:ind w:left="2160" w:hanging="360"/>
      </w:pPr>
      <w:rPr>
        <w:rFonts w:ascii="Arial" w:hAnsi="Arial" w:hint="default"/>
      </w:rPr>
    </w:lvl>
    <w:lvl w:ilvl="3" w:tplc="5128C690" w:tentative="1">
      <w:start w:val="1"/>
      <w:numFmt w:val="bullet"/>
      <w:lvlText w:val="•"/>
      <w:lvlJc w:val="left"/>
      <w:pPr>
        <w:tabs>
          <w:tab w:val="num" w:pos="2880"/>
        </w:tabs>
        <w:ind w:left="2880" w:hanging="360"/>
      </w:pPr>
      <w:rPr>
        <w:rFonts w:ascii="Arial" w:hAnsi="Arial" w:hint="default"/>
      </w:rPr>
    </w:lvl>
    <w:lvl w:ilvl="4" w:tplc="02222908" w:tentative="1">
      <w:start w:val="1"/>
      <w:numFmt w:val="bullet"/>
      <w:lvlText w:val="•"/>
      <w:lvlJc w:val="left"/>
      <w:pPr>
        <w:tabs>
          <w:tab w:val="num" w:pos="3600"/>
        </w:tabs>
        <w:ind w:left="3600" w:hanging="360"/>
      </w:pPr>
      <w:rPr>
        <w:rFonts w:ascii="Arial" w:hAnsi="Arial" w:hint="default"/>
      </w:rPr>
    </w:lvl>
    <w:lvl w:ilvl="5" w:tplc="6232886E" w:tentative="1">
      <w:start w:val="1"/>
      <w:numFmt w:val="bullet"/>
      <w:lvlText w:val="•"/>
      <w:lvlJc w:val="left"/>
      <w:pPr>
        <w:tabs>
          <w:tab w:val="num" w:pos="4320"/>
        </w:tabs>
        <w:ind w:left="4320" w:hanging="360"/>
      </w:pPr>
      <w:rPr>
        <w:rFonts w:ascii="Arial" w:hAnsi="Arial" w:hint="default"/>
      </w:rPr>
    </w:lvl>
    <w:lvl w:ilvl="6" w:tplc="66F6674E" w:tentative="1">
      <w:start w:val="1"/>
      <w:numFmt w:val="bullet"/>
      <w:lvlText w:val="•"/>
      <w:lvlJc w:val="left"/>
      <w:pPr>
        <w:tabs>
          <w:tab w:val="num" w:pos="5040"/>
        </w:tabs>
        <w:ind w:left="5040" w:hanging="360"/>
      </w:pPr>
      <w:rPr>
        <w:rFonts w:ascii="Arial" w:hAnsi="Arial" w:hint="default"/>
      </w:rPr>
    </w:lvl>
    <w:lvl w:ilvl="7" w:tplc="785A92EE" w:tentative="1">
      <w:start w:val="1"/>
      <w:numFmt w:val="bullet"/>
      <w:lvlText w:val="•"/>
      <w:lvlJc w:val="left"/>
      <w:pPr>
        <w:tabs>
          <w:tab w:val="num" w:pos="5760"/>
        </w:tabs>
        <w:ind w:left="5760" w:hanging="360"/>
      </w:pPr>
      <w:rPr>
        <w:rFonts w:ascii="Arial" w:hAnsi="Arial" w:hint="default"/>
      </w:rPr>
    </w:lvl>
    <w:lvl w:ilvl="8" w:tplc="288271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C85284"/>
    <w:multiLevelType w:val="hybridMultilevel"/>
    <w:tmpl w:val="9C6EB062"/>
    <w:lvl w:ilvl="0" w:tplc="1BA02D6E">
      <w:start w:val="1"/>
      <w:numFmt w:val="bullet"/>
      <w:lvlText w:val="•"/>
      <w:lvlJc w:val="left"/>
      <w:pPr>
        <w:tabs>
          <w:tab w:val="num" w:pos="720"/>
        </w:tabs>
        <w:ind w:left="720" w:hanging="360"/>
      </w:pPr>
      <w:rPr>
        <w:rFonts w:ascii="Arial" w:hAnsi="Arial" w:hint="default"/>
      </w:rPr>
    </w:lvl>
    <w:lvl w:ilvl="1" w:tplc="2AEE47BE">
      <w:start w:val="217"/>
      <w:numFmt w:val="bullet"/>
      <w:lvlText w:val="–"/>
      <w:lvlJc w:val="left"/>
      <w:pPr>
        <w:tabs>
          <w:tab w:val="num" w:pos="1440"/>
        </w:tabs>
        <w:ind w:left="1440" w:hanging="360"/>
      </w:pPr>
      <w:rPr>
        <w:rFonts w:ascii="Arial" w:hAnsi="Arial" w:hint="default"/>
      </w:rPr>
    </w:lvl>
    <w:lvl w:ilvl="2" w:tplc="AF2CC37E" w:tentative="1">
      <w:start w:val="1"/>
      <w:numFmt w:val="bullet"/>
      <w:lvlText w:val="•"/>
      <w:lvlJc w:val="left"/>
      <w:pPr>
        <w:tabs>
          <w:tab w:val="num" w:pos="2160"/>
        </w:tabs>
        <w:ind w:left="2160" w:hanging="360"/>
      </w:pPr>
      <w:rPr>
        <w:rFonts w:ascii="Arial" w:hAnsi="Arial" w:hint="default"/>
      </w:rPr>
    </w:lvl>
    <w:lvl w:ilvl="3" w:tplc="33387306" w:tentative="1">
      <w:start w:val="1"/>
      <w:numFmt w:val="bullet"/>
      <w:lvlText w:val="•"/>
      <w:lvlJc w:val="left"/>
      <w:pPr>
        <w:tabs>
          <w:tab w:val="num" w:pos="2880"/>
        </w:tabs>
        <w:ind w:left="2880" w:hanging="360"/>
      </w:pPr>
      <w:rPr>
        <w:rFonts w:ascii="Arial" w:hAnsi="Arial" w:hint="default"/>
      </w:rPr>
    </w:lvl>
    <w:lvl w:ilvl="4" w:tplc="0B3AF90C" w:tentative="1">
      <w:start w:val="1"/>
      <w:numFmt w:val="bullet"/>
      <w:lvlText w:val="•"/>
      <w:lvlJc w:val="left"/>
      <w:pPr>
        <w:tabs>
          <w:tab w:val="num" w:pos="3600"/>
        </w:tabs>
        <w:ind w:left="3600" w:hanging="360"/>
      </w:pPr>
      <w:rPr>
        <w:rFonts w:ascii="Arial" w:hAnsi="Arial" w:hint="default"/>
      </w:rPr>
    </w:lvl>
    <w:lvl w:ilvl="5" w:tplc="F7E25CAE" w:tentative="1">
      <w:start w:val="1"/>
      <w:numFmt w:val="bullet"/>
      <w:lvlText w:val="•"/>
      <w:lvlJc w:val="left"/>
      <w:pPr>
        <w:tabs>
          <w:tab w:val="num" w:pos="4320"/>
        </w:tabs>
        <w:ind w:left="4320" w:hanging="360"/>
      </w:pPr>
      <w:rPr>
        <w:rFonts w:ascii="Arial" w:hAnsi="Arial" w:hint="default"/>
      </w:rPr>
    </w:lvl>
    <w:lvl w:ilvl="6" w:tplc="F058E1B4" w:tentative="1">
      <w:start w:val="1"/>
      <w:numFmt w:val="bullet"/>
      <w:lvlText w:val="•"/>
      <w:lvlJc w:val="left"/>
      <w:pPr>
        <w:tabs>
          <w:tab w:val="num" w:pos="5040"/>
        </w:tabs>
        <w:ind w:left="5040" w:hanging="360"/>
      </w:pPr>
      <w:rPr>
        <w:rFonts w:ascii="Arial" w:hAnsi="Arial" w:hint="default"/>
      </w:rPr>
    </w:lvl>
    <w:lvl w:ilvl="7" w:tplc="62B2A0AC" w:tentative="1">
      <w:start w:val="1"/>
      <w:numFmt w:val="bullet"/>
      <w:lvlText w:val="•"/>
      <w:lvlJc w:val="left"/>
      <w:pPr>
        <w:tabs>
          <w:tab w:val="num" w:pos="5760"/>
        </w:tabs>
        <w:ind w:left="5760" w:hanging="360"/>
      </w:pPr>
      <w:rPr>
        <w:rFonts w:ascii="Arial" w:hAnsi="Arial" w:hint="default"/>
      </w:rPr>
    </w:lvl>
    <w:lvl w:ilvl="8" w:tplc="8F5E80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7225377"/>
    <w:multiLevelType w:val="hybridMultilevel"/>
    <w:tmpl w:val="6C300220"/>
    <w:lvl w:ilvl="0" w:tplc="F21CD99A">
      <w:start w:val="1"/>
      <w:numFmt w:val="bullet"/>
      <w:lvlText w:val="•"/>
      <w:lvlJc w:val="left"/>
      <w:pPr>
        <w:tabs>
          <w:tab w:val="num" w:pos="720"/>
        </w:tabs>
        <w:ind w:left="720" w:hanging="360"/>
      </w:pPr>
      <w:rPr>
        <w:rFonts w:ascii="Arial" w:hAnsi="Arial" w:hint="default"/>
      </w:rPr>
    </w:lvl>
    <w:lvl w:ilvl="1" w:tplc="9532268C">
      <w:start w:val="217"/>
      <w:numFmt w:val="bullet"/>
      <w:lvlText w:val="–"/>
      <w:lvlJc w:val="left"/>
      <w:pPr>
        <w:tabs>
          <w:tab w:val="num" w:pos="1440"/>
        </w:tabs>
        <w:ind w:left="1440" w:hanging="360"/>
      </w:pPr>
      <w:rPr>
        <w:rFonts w:ascii="Arial" w:hAnsi="Arial" w:hint="default"/>
      </w:rPr>
    </w:lvl>
    <w:lvl w:ilvl="2" w:tplc="29BA3F5E">
      <w:start w:val="217"/>
      <w:numFmt w:val="bullet"/>
      <w:lvlText w:val="•"/>
      <w:lvlJc w:val="left"/>
      <w:pPr>
        <w:tabs>
          <w:tab w:val="num" w:pos="2160"/>
        </w:tabs>
        <w:ind w:left="2160" w:hanging="360"/>
      </w:pPr>
      <w:rPr>
        <w:rFonts w:ascii="Arial" w:hAnsi="Arial" w:hint="default"/>
      </w:rPr>
    </w:lvl>
    <w:lvl w:ilvl="3" w:tplc="832E1562" w:tentative="1">
      <w:start w:val="1"/>
      <w:numFmt w:val="bullet"/>
      <w:lvlText w:val="•"/>
      <w:lvlJc w:val="left"/>
      <w:pPr>
        <w:tabs>
          <w:tab w:val="num" w:pos="2880"/>
        </w:tabs>
        <w:ind w:left="2880" w:hanging="360"/>
      </w:pPr>
      <w:rPr>
        <w:rFonts w:ascii="Arial" w:hAnsi="Arial" w:hint="default"/>
      </w:rPr>
    </w:lvl>
    <w:lvl w:ilvl="4" w:tplc="CA3AABA2" w:tentative="1">
      <w:start w:val="1"/>
      <w:numFmt w:val="bullet"/>
      <w:lvlText w:val="•"/>
      <w:lvlJc w:val="left"/>
      <w:pPr>
        <w:tabs>
          <w:tab w:val="num" w:pos="3600"/>
        </w:tabs>
        <w:ind w:left="3600" w:hanging="360"/>
      </w:pPr>
      <w:rPr>
        <w:rFonts w:ascii="Arial" w:hAnsi="Arial" w:hint="default"/>
      </w:rPr>
    </w:lvl>
    <w:lvl w:ilvl="5" w:tplc="FB7C6CD2" w:tentative="1">
      <w:start w:val="1"/>
      <w:numFmt w:val="bullet"/>
      <w:lvlText w:val="•"/>
      <w:lvlJc w:val="left"/>
      <w:pPr>
        <w:tabs>
          <w:tab w:val="num" w:pos="4320"/>
        </w:tabs>
        <w:ind w:left="4320" w:hanging="360"/>
      </w:pPr>
      <w:rPr>
        <w:rFonts w:ascii="Arial" w:hAnsi="Arial" w:hint="default"/>
      </w:rPr>
    </w:lvl>
    <w:lvl w:ilvl="6" w:tplc="325076F0" w:tentative="1">
      <w:start w:val="1"/>
      <w:numFmt w:val="bullet"/>
      <w:lvlText w:val="•"/>
      <w:lvlJc w:val="left"/>
      <w:pPr>
        <w:tabs>
          <w:tab w:val="num" w:pos="5040"/>
        </w:tabs>
        <w:ind w:left="5040" w:hanging="360"/>
      </w:pPr>
      <w:rPr>
        <w:rFonts w:ascii="Arial" w:hAnsi="Arial" w:hint="default"/>
      </w:rPr>
    </w:lvl>
    <w:lvl w:ilvl="7" w:tplc="333250DE" w:tentative="1">
      <w:start w:val="1"/>
      <w:numFmt w:val="bullet"/>
      <w:lvlText w:val="•"/>
      <w:lvlJc w:val="left"/>
      <w:pPr>
        <w:tabs>
          <w:tab w:val="num" w:pos="5760"/>
        </w:tabs>
        <w:ind w:left="5760" w:hanging="360"/>
      </w:pPr>
      <w:rPr>
        <w:rFonts w:ascii="Arial" w:hAnsi="Arial" w:hint="default"/>
      </w:rPr>
    </w:lvl>
    <w:lvl w:ilvl="8" w:tplc="B08EA8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342D46"/>
    <w:multiLevelType w:val="hybridMultilevel"/>
    <w:tmpl w:val="07CEAD30"/>
    <w:lvl w:ilvl="0" w:tplc="98708AFA">
      <w:start w:val="1"/>
      <w:numFmt w:val="bullet"/>
      <w:lvlText w:val="•"/>
      <w:lvlJc w:val="left"/>
      <w:pPr>
        <w:tabs>
          <w:tab w:val="num" w:pos="720"/>
        </w:tabs>
        <w:ind w:left="720" w:hanging="360"/>
      </w:pPr>
      <w:rPr>
        <w:rFonts w:ascii="Arial" w:hAnsi="Arial" w:hint="default"/>
      </w:rPr>
    </w:lvl>
    <w:lvl w:ilvl="1" w:tplc="158E2DE8">
      <w:start w:val="217"/>
      <w:numFmt w:val="bullet"/>
      <w:lvlText w:val="–"/>
      <w:lvlJc w:val="left"/>
      <w:pPr>
        <w:tabs>
          <w:tab w:val="num" w:pos="1440"/>
        </w:tabs>
        <w:ind w:left="1440" w:hanging="360"/>
      </w:pPr>
      <w:rPr>
        <w:rFonts w:ascii="Arial" w:hAnsi="Arial" w:hint="default"/>
      </w:rPr>
    </w:lvl>
    <w:lvl w:ilvl="2" w:tplc="86EA6578">
      <w:start w:val="217"/>
      <w:numFmt w:val="bullet"/>
      <w:lvlText w:val="•"/>
      <w:lvlJc w:val="left"/>
      <w:pPr>
        <w:tabs>
          <w:tab w:val="num" w:pos="2160"/>
        </w:tabs>
        <w:ind w:left="2160" w:hanging="360"/>
      </w:pPr>
      <w:rPr>
        <w:rFonts w:ascii="Arial" w:hAnsi="Arial" w:hint="default"/>
      </w:rPr>
    </w:lvl>
    <w:lvl w:ilvl="3" w:tplc="460CC5DC" w:tentative="1">
      <w:start w:val="1"/>
      <w:numFmt w:val="bullet"/>
      <w:lvlText w:val="•"/>
      <w:lvlJc w:val="left"/>
      <w:pPr>
        <w:tabs>
          <w:tab w:val="num" w:pos="2880"/>
        </w:tabs>
        <w:ind w:left="2880" w:hanging="360"/>
      </w:pPr>
      <w:rPr>
        <w:rFonts w:ascii="Arial" w:hAnsi="Arial" w:hint="default"/>
      </w:rPr>
    </w:lvl>
    <w:lvl w:ilvl="4" w:tplc="FF06113C" w:tentative="1">
      <w:start w:val="1"/>
      <w:numFmt w:val="bullet"/>
      <w:lvlText w:val="•"/>
      <w:lvlJc w:val="left"/>
      <w:pPr>
        <w:tabs>
          <w:tab w:val="num" w:pos="3600"/>
        </w:tabs>
        <w:ind w:left="3600" w:hanging="360"/>
      </w:pPr>
      <w:rPr>
        <w:rFonts w:ascii="Arial" w:hAnsi="Arial" w:hint="default"/>
      </w:rPr>
    </w:lvl>
    <w:lvl w:ilvl="5" w:tplc="9D8C8B1E" w:tentative="1">
      <w:start w:val="1"/>
      <w:numFmt w:val="bullet"/>
      <w:lvlText w:val="•"/>
      <w:lvlJc w:val="left"/>
      <w:pPr>
        <w:tabs>
          <w:tab w:val="num" w:pos="4320"/>
        </w:tabs>
        <w:ind w:left="4320" w:hanging="360"/>
      </w:pPr>
      <w:rPr>
        <w:rFonts w:ascii="Arial" w:hAnsi="Arial" w:hint="default"/>
      </w:rPr>
    </w:lvl>
    <w:lvl w:ilvl="6" w:tplc="77EE6DAC" w:tentative="1">
      <w:start w:val="1"/>
      <w:numFmt w:val="bullet"/>
      <w:lvlText w:val="•"/>
      <w:lvlJc w:val="left"/>
      <w:pPr>
        <w:tabs>
          <w:tab w:val="num" w:pos="5040"/>
        </w:tabs>
        <w:ind w:left="5040" w:hanging="360"/>
      </w:pPr>
      <w:rPr>
        <w:rFonts w:ascii="Arial" w:hAnsi="Arial" w:hint="default"/>
      </w:rPr>
    </w:lvl>
    <w:lvl w:ilvl="7" w:tplc="E1422988" w:tentative="1">
      <w:start w:val="1"/>
      <w:numFmt w:val="bullet"/>
      <w:lvlText w:val="•"/>
      <w:lvlJc w:val="left"/>
      <w:pPr>
        <w:tabs>
          <w:tab w:val="num" w:pos="5760"/>
        </w:tabs>
        <w:ind w:left="5760" w:hanging="360"/>
      </w:pPr>
      <w:rPr>
        <w:rFonts w:ascii="Arial" w:hAnsi="Arial" w:hint="default"/>
      </w:rPr>
    </w:lvl>
    <w:lvl w:ilvl="8" w:tplc="9104D2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165832"/>
    <w:multiLevelType w:val="hybridMultilevel"/>
    <w:tmpl w:val="97949394"/>
    <w:lvl w:ilvl="0" w:tplc="107CAAD6">
      <w:start w:val="1"/>
      <w:numFmt w:val="bullet"/>
      <w:lvlText w:val="•"/>
      <w:lvlJc w:val="left"/>
      <w:pPr>
        <w:tabs>
          <w:tab w:val="num" w:pos="720"/>
        </w:tabs>
        <w:ind w:left="720" w:hanging="360"/>
      </w:pPr>
      <w:rPr>
        <w:rFonts w:ascii="Arial" w:hAnsi="Arial" w:hint="default"/>
      </w:rPr>
    </w:lvl>
    <w:lvl w:ilvl="1" w:tplc="634491CA">
      <w:start w:val="217"/>
      <w:numFmt w:val="bullet"/>
      <w:lvlText w:val="–"/>
      <w:lvlJc w:val="left"/>
      <w:pPr>
        <w:tabs>
          <w:tab w:val="num" w:pos="1440"/>
        </w:tabs>
        <w:ind w:left="1440" w:hanging="360"/>
      </w:pPr>
      <w:rPr>
        <w:rFonts w:ascii="Arial" w:hAnsi="Arial" w:hint="default"/>
      </w:rPr>
    </w:lvl>
    <w:lvl w:ilvl="2" w:tplc="5E42A060" w:tentative="1">
      <w:start w:val="1"/>
      <w:numFmt w:val="bullet"/>
      <w:lvlText w:val="•"/>
      <w:lvlJc w:val="left"/>
      <w:pPr>
        <w:tabs>
          <w:tab w:val="num" w:pos="2160"/>
        </w:tabs>
        <w:ind w:left="2160" w:hanging="360"/>
      </w:pPr>
      <w:rPr>
        <w:rFonts w:ascii="Arial" w:hAnsi="Arial" w:hint="default"/>
      </w:rPr>
    </w:lvl>
    <w:lvl w:ilvl="3" w:tplc="12CC6CFC" w:tentative="1">
      <w:start w:val="1"/>
      <w:numFmt w:val="bullet"/>
      <w:lvlText w:val="•"/>
      <w:lvlJc w:val="left"/>
      <w:pPr>
        <w:tabs>
          <w:tab w:val="num" w:pos="2880"/>
        </w:tabs>
        <w:ind w:left="2880" w:hanging="360"/>
      </w:pPr>
      <w:rPr>
        <w:rFonts w:ascii="Arial" w:hAnsi="Arial" w:hint="default"/>
      </w:rPr>
    </w:lvl>
    <w:lvl w:ilvl="4" w:tplc="6E9A6428" w:tentative="1">
      <w:start w:val="1"/>
      <w:numFmt w:val="bullet"/>
      <w:lvlText w:val="•"/>
      <w:lvlJc w:val="left"/>
      <w:pPr>
        <w:tabs>
          <w:tab w:val="num" w:pos="3600"/>
        </w:tabs>
        <w:ind w:left="3600" w:hanging="360"/>
      </w:pPr>
      <w:rPr>
        <w:rFonts w:ascii="Arial" w:hAnsi="Arial" w:hint="default"/>
      </w:rPr>
    </w:lvl>
    <w:lvl w:ilvl="5" w:tplc="B26A0F24" w:tentative="1">
      <w:start w:val="1"/>
      <w:numFmt w:val="bullet"/>
      <w:lvlText w:val="•"/>
      <w:lvlJc w:val="left"/>
      <w:pPr>
        <w:tabs>
          <w:tab w:val="num" w:pos="4320"/>
        </w:tabs>
        <w:ind w:left="4320" w:hanging="360"/>
      </w:pPr>
      <w:rPr>
        <w:rFonts w:ascii="Arial" w:hAnsi="Arial" w:hint="default"/>
      </w:rPr>
    </w:lvl>
    <w:lvl w:ilvl="6" w:tplc="22C2E984" w:tentative="1">
      <w:start w:val="1"/>
      <w:numFmt w:val="bullet"/>
      <w:lvlText w:val="•"/>
      <w:lvlJc w:val="left"/>
      <w:pPr>
        <w:tabs>
          <w:tab w:val="num" w:pos="5040"/>
        </w:tabs>
        <w:ind w:left="5040" w:hanging="360"/>
      </w:pPr>
      <w:rPr>
        <w:rFonts w:ascii="Arial" w:hAnsi="Arial" w:hint="default"/>
      </w:rPr>
    </w:lvl>
    <w:lvl w:ilvl="7" w:tplc="15C69F64" w:tentative="1">
      <w:start w:val="1"/>
      <w:numFmt w:val="bullet"/>
      <w:lvlText w:val="•"/>
      <w:lvlJc w:val="left"/>
      <w:pPr>
        <w:tabs>
          <w:tab w:val="num" w:pos="5760"/>
        </w:tabs>
        <w:ind w:left="5760" w:hanging="360"/>
      </w:pPr>
      <w:rPr>
        <w:rFonts w:ascii="Arial" w:hAnsi="Arial" w:hint="default"/>
      </w:rPr>
    </w:lvl>
    <w:lvl w:ilvl="8" w:tplc="3F12F9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8510AC"/>
    <w:multiLevelType w:val="hybridMultilevel"/>
    <w:tmpl w:val="9F0E56E8"/>
    <w:lvl w:ilvl="0" w:tplc="5EBCB9E6">
      <w:start w:val="1"/>
      <w:numFmt w:val="bullet"/>
      <w:lvlText w:val="•"/>
      <w:lvlJc w:val="left"/>
      <w:pPr>
        <w:tabs>
          <w:tab w:val="num" w:pos="720"/>
        </w:tabs>
        <w:ind w:left="720" w:hanging="360"/>
      </w:pPr>
      <w:rPr>
        <w:rFonts w:ascii="Arial" w:hAnsi="Arial" w:hint="default"/>
      </w:rPr>
    </w:lvl>
    <w:lvl w:ilvl="1" w:tplc="2C8EA36C">
      <w:start w:val="217"/>
      <w:numFmt w:val="bullet"/>
      <w:lvlText w:val="–"/>
      <w:lvlJc w:val="left"/>
      <w:pPr>
        <w:tabs>
          <w:tab w:val="num" w:pos="1440"/>
        </w:tabs>
        <w:ind w:left="1440" w:hanging="360"/>
      </w:pPr>
      <w:rPr>
        <w:rFonts w:ascii="Arial" w:hAnsi="Arial" w:hint="default"/>
      </w:rPr>
    </w:lvl>
    <w:lvl w:ilvl="2" w:tplc="17CA154A" w:tentative="1">
      <w:start w:val="1"/>
      <w:numFmt w:val="bullet"/>
      <w:lvlText w:val="•"/>
      <w:lvlJc w:val="left"/>
      <w:pPr>
        <w:tabs>
          <w:tab w:val="num" w:pos="2160"/>
        </w:tabs>
        <w:ind w:left="2160" w:hanging="360"/>
      </w:pPr>
      <w:rPr>
        <w:rFonts w:ascii="Arial" w:hAnsi="Arial" w:hint="default"/>
      </w:rPr>
    </w:lvl>
    <w:lvl w:ilvl="3" w:tplc="32CC2EB4" w:tentative="1">
      <w:start w:val="1"/>
      <w:numFmt w:val="bullet"/>
      <w:lvlText w:val="•"/>
      <w:lvlJc w:val="left"/>
      <w:pPr>
        <w:tabs>
          <w:tab w:val="num" w:pos="2880"/>
        </w:tabs>
        <w:ind w:left="2880" w:hanging="360"/>
      </w:pPr>
      <w:rPr>
        <w:rFonts w:ascii="Arial" w:hAnsi="Arial" w:hint="default"/>
      </w:rPr>
    </w:lvl>
    <w:lvl w:ilvl="4" w:tplc="FD4AA4E4" w:tentative="1">
      <w:start w:val="1"/>
      <w:numFmt w:val="bullet"/>
      <w:lvlText w:val="•"/>
      <w:lvlJc w:val="left"/>
      <w:pPr>
        <w:tabs>
          <w:tab w:val="num" w:pos="3600"/>
        </w:tabs>
        <w:ind w:left="3600" w:hanging="360"/>
      </w:pPr>
      <w:rPr>
        <w:rFonts w:ascii="Arial" w:hAnsi="Arial" w:hint="default"/>
      </w:rPr>
    </w:lvl>
    <w:lvl w:ilvl="5" w:tplc="4A2CFA30" w:tentative="1">
      <w:start w:val="1"/>
      <w:numFmt w:val="bullet"/>
      <w:lvlText w:val="•"/>
      <w:lvlJc w:val="left"/>
      <w:pPr>
        <w:tabs>
          <w:tab w:val="num" w:pos="4320"/>
        </w:tabs>
        <w:ind w:left="4320" w:hanging="360"/>
      </w:pPr>
      <w:rPr>
        <w:rFonts w:ascii="Arial" w:hAnsi="Arial" w:hint="default"/>
      </w:rPr>
    </w:lvl>
    <w:lvl w:ilvl="6" w:tplc="B51EE0CE" w:tentative="1">
      <w:start w:val="1"/>
      <w:numFmt w:val="bullet"/>
      <w:lvlText w:val="•"/>
      <w:lvlJc w:val="left"/>
      <w:pPr>
        <w:tabs>
          <w:tab w:val="num" w:pos="5040"/>
        </w:tabs>
        <w:ind w:left="5040" w:hanging="360"/>
      </w:pPr>
      <w:rPr>
        <w:rFonts w:ascii="Arial" w:hAnsi="Arial" w:hint="default"/>
      </w:rPr>
    </w:lvl>
    <w:lvl w:ilvl="7" w:tplc="CE6CC2F4" w:tentative="1">
      <w:start w:val="1"/>
      <w:numFmt w:val="bullet"/>
      <w:lvlText w:val="•"/>
      <w:lvlJc w:val="left"/>
      <w:pPr>
        <w:tabs>
          <w:tab w:val="num" w:pos="5760"/>
        </w:tabs>
        <w:ind w:left="5760" w:hanging="360"/>
      </w:pPr>
      <w:rPr>
        <w:rFonts w:ascii="Arial" w:hAnsi="Arial" w:hint="default"/>
      </w:rPr>
    </w:lvl>
    <w:lvl w:ilvl="8" w:tplc="84C4B1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8F760C"/>
    <w:multiLevelType w:val="hybridMultilevel"/>
    <w:tmpl w:val="F8580756"/>
    <w:lvl w:ilvl="0" w:tplc="A7F04EC6">
      <w:start w:val="1"/>
      <w:numFmt w:val="bullet"/>
      <w:lvlText w:val="•"/>
      <w:lvlJc w:val="left"/>
      <w:pPr>
        <w:tabs>
          <w:tab w:val="num" w:pos="720"/>
        </w:tabs>
        <w:ind w:left="720" w:hanging="360"/>
      </w:pPr>
      <w:rPr>
        <w:rFonts w:ascii="Arial" w:hAnsi="Arial" w:hint="default"/>
      </w:rPr>
    </w:lvl>
    <w:lvl w:ilvl="1" w:tplc="9720220E">
      <w:start w:val="217"/>
      <w:numFmt w:val="bullet"/>
      <w:lvlText w:val="–"/>
      <w:lvlJc w:val="left"/>
      <w:pPr>
        <w:tabs>
          <w:tab w:val="num" w:pos="1440"/>
        </w:tabs>
        <w:ind w:left="1440" w:hanging="360"/>
      </w:pPr>
      <w:rPr>
        <w:rFonts w:ascii="Arial" w:hAnsi="Arial" w:hint="default"/>
      </w:rPr>
    </w:lvl>
    <w:lvl w:ilvl="2" w:tplc="BB763B18">
      <w:start w:val="217"/>
      <w:numFmt w:val="bullet"/>
      <w:lvlText w:val="•"/>
      <w:lvlJc w:val="left"/>
      <w:pPr>
        <w:tabs>
          <w:tab w:val="num" w:pos="2160"/>
        </w:tabs>
        <w:ind w:left="2160" w:hanging="360"/>
      </w:pPr>
      <w:rPr>
        <w:rFonts w:ascii="Arial" w:hAnsi="Arial" w:hint="default"/>
      </w:rPr>
    </w:lvl>
    <w:lvl w:ilvl="3" w:tplc="85EC4304" w:tentative="1">
      <w:start w:val="1"/>
      <w:numFmt w:val="bullet"/>
      <w:lvlText w:val="•"/>
      <w:lvlJc w:val="left"/>
      <w:pPr>
        <w:tabs>
          <w:tab w:val="num" w:pos="2880"/>
        </w:tabs>
        <w:ind w:left="2880" w:hanging="360"/>
      </w:pPr>
      <w:rPr>
        <w:rFonts w:ascii="Arial" w:hAnsi="Arial" w:hint="default"/>
      </w:rPr>
    </w:lvl>
    <w:lvl w:ilvl="4" w:tplc="62A8246E" w:tentative="1">
      <w:start w:val="1"/>
      <w:numFmt w:val="bullet"/>
      <w:lvlText w:val="•"/>
      <w:lvlJc w:val="left"/>
      <w:pPr>
        <w:tabs>
          <w:tab w:val="num" w:pos="3600"/>
        </w:tabs>
        <w:ind w:left="3600" w:hanging="360"/>
      </w:pPr>
      <w:rPr>
        <w:rFonts w:ascii="Arial" w:hAnsi="Arial" w:hint="default"/>
      </w:rPr>
    </w:lvl>
    <w:lvl w:ilvl="5" w:tplc="0ADE2AD6" w:tentative="1">
      <w:start w:val="1"/>
      <w:numFmt w:val="bullet"/>
      <w:lvlText w:val="•"/>
      <w:lvlJc w:val="left"/>
      <w:pPr>
        <w:tabs>
          <w:tab w:val="num" w:pos="4320"/>
        </w:tabs>
        <w:ind w:left="4320" w:hanging="360"/>
      </w:pPr>
      <w:rPr>
        <w:rFonts w:ascii="Arial" w:hAnsi="Arial" w:hint="default"/>
      </w:rPr>
    </w:lvl>
    <w:lvl w:ilvl="6" w:tplc="ACC23656" w:tentative="1">
      <w:start w:val="1"/>
      <w:numFmt w:val="bullet"/>
      <w:lvlText w:val="•"/>
      <w:lvlJc w:val="left"/>
      <w:pPr>
        <w:tabs>
          <w:tab w:val="num" w:pos="5040"/>
        </w:tabs>
        <w:ind w:left="5040" w:hanging="360"/>
      </w:pPr>
      <w:rPr>
        <w:rFonts w:ascii="Arial" w:hAnsi="Arial" w:hint="default"/>
      </w:rPr>
    </w:lvl>
    <w:lvl w:ilvl="7" w:tplc="D0B6683A" w:tentative="1">
      <w:start w:val="1"/>
      <w:numFmt w:val="bullet"/>
      <w:lvlText w:val="•"/>
      <w:lvlJc w:val="left"/>
      <w:pPr>
        <w:tabs>
          <w:tab w:val="num" w:pos="5760"/>
        </w:tabs>
        <w:ind w:left="5760" w:hanging="360"/>
      </w:pPr>
      <w:rPr>
        <w:rFonts w:ascii="Arial" w:hAnsi="Arial" w:hint="default"/>
      </w:rPr>
    </w:lvl>
    <w:lvl w:ilvl="8" w:tplc="E7A66E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B526A3E"/>
    <w:multiLevelType w:val="hybridMultilevel"/>
    <w:tmpl w:val="14DED498"/>
    <w:lvl w:ilvl="0" w:tplc="680E6744">
      <w:start w:val="1"/>
      <w:numFmt w:val="bullet"/>
      <w:lvlText w:val="•"/>
      <w:lvlJc w:val="left"/>
      <w:pPr>
        <w:tabs>
          <w:tab w:val="num" w:pos="720"/>
        </w:tabs>
        <w:ind w:left="720" w:hanging="360"/>
      </w:pPr>
      <w:rPr>
        <w:rFonts w:ascii="Arial" w:hAnsi="Arial" w:hint="default"/>
      </w:rPr>
    </w:lvl>
    <w:lvl w:ilvl="1" w:tplc="09460EA0">
      <w:start w:val="217"/>
      <w:numFmt w:val="bullet"/>
      <w:lvlText w:val="–"/>
      <w:lvlJc w:val="left"/>
      <w:pPr>
        <w:tabs>
          <w:tab w:val="num" w:pos="1440"/>
        </w:tabs>
        <w:ind w:left="1440" w:hanging="360"/>
      </w:pPr>
      <w:rPr>
        <w:rFonts w:ascii="Arial" w:hAnsi="Arial" w:hint="default"/>
      </w:rPr>
    </w:lvl>
    <w:lvl w:ilvl="2" w:tplc="96B4EBD6">
      <w:start w:val="217"/>
      <w:numFmt w:val="bullet"/>
      <w:lvlText w:val="•"/>
      <w:lvlJc w:val="left"/>
      <w:pPr>
        <w:tabs>
          <w:tab w:val="num" w:pos="2160"/>
        </w:tabs>
        <w:ind w:left="2160" w:hanging="360"/>
      </w:pPr>
      <w:rPr>
        <w:rFonts w:ascii="Arial" w:hAnsi="Arial" w:hint="default"/>
      </w:rPr>
    </w:lvl>
    <w:lvl w:ilvl="3" w:tplc="F238EBF8">
      <w:start w:val="217"/>
      <w:numFmt w:val="bullet"/>
      <w:lvlText w:val="–"/>
      <w:lvlJc w:val="left"/>
      <w:pPr>
        <w:tabs>
          <w:tab w:val="num" w:pos="2880"/>
        </w:tabs>
        <w:ind w:left="2880" w:hanging="360"/>
      </w:pPr>
      <w:rPr>
        <w:rFonts w:ascii="Arial" w:hAnsi="Arial" w:hint="default"/>
      </w:rPr>
    </w:lvl>
    <w:lvl w:ilvl="4" w:tplc="4F888062" w:tentative="1">
      <w:start w:val="1"/>
      <w:numFmt w:val="bullet"/>
      <w:lvlText w:val="•"/>
      <w:lvlJc w:val="left"/>
      <w:pPr>
        <w:tabs>
          <w:tab w:val="num" w:pos="3600"/>
        </w:tabs>
        <w:ind w:left="3600" w:hanging="360"/>
      </w:pPr>
      <w:rPr>
        <w:rFonts w:ascii="Arial" w:hAnsi="Arial" w:hint="default"/>
      </w:rPr>
    </w:lvl>
    <w:lvl w:ilvl="5" w:tplc="969ED84E" w:tentative="1">
      <w:start w:val="1"/>
      <w:numFmt w:val="bullet"/>
      <w:lvlText w:val="•"/>
      <w:lvlJc w:val="left"/>
      <w:pPr>
        <w:tabs>
          <w:tab w:val="num" w:pos="4320"/>
        </w:tabs>
        <w:ind w:left="4320" w:hanging="360"/>
      </w:pPr>
      <w:rPr>
        <w:rFonts w:ascii="Arial" w:hAnsi="Arial" w:hint="default"/>
      </w:rPr>
    </w:lvl>
    <w:lvl w:ilvl="6" w:tplc="D9D6600E" w:tentative="1">
      <w:start w:val="1"/>
      <w:numFmt w:val="bullet"/>
      <w:lvlText w:val="•"/>
      <w:lvlJc w:val="left"/>
      <w:pPr>
        <w:tabs>
          <w:tab w:val="num" w:pos="5040"/>
        </w:tabs>
        <w:ind w:left="5040" w:hanging="360"/>
      </w:pPr>
      <w:rPr>
        <w:rFonts w:ascii="Arial" w:hAnsi="Arial" w:hint="default"/>
      </w:rPr>
    </w:lvl>
    <w:lvl w:ilvl="7" w:tplc="72AE1B6C" w:tentative="1">
      <w:start w:val="1"/>
      <w:numFmt w:val="bullet"/>
      <w:lvlText w:val="•"/>
      <w:lvlJc w:val="left"/>
      <w:pPr>
        <w:tabs>
          <w:tab w:val="num" w:pos="5760"/>
        </w:tabs>
        <w:ind w:left="5760" w:hanging="360"/>
      </w:pPr>
      <w:rPr>
        <w:rFonts w:ascii="Arial" w:hAnsi="Arial" w:hint="default"/>
      </w:rPr>
    </w:lvl>
    <w:lvl w:ilvl="8" w:tplc="792CEF4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6"/>
  </w:num>
  <w:num w:numId="3">
    <w:abstractNumId w:val="7"/>
  </w:num>
  <w:num w:numId="4">
    <w:abstractNumId w:val="7"/>
    <w:lvlOverride w:ilvl="0">
      <w:startOverride w:val="1"/>
    </w:lvlOverride>
  </w:num>
  <w:num w:numId="5">
    <w:abstractNumId w:val="6"/>
    <w:lvlOverride w:ilvl="0">
      <w:startOverride w:val="1"/>
    </w:lvlOverride>
  </w:num>
  <w:num w:numId="6">
    <w:abstractNumId w:val="12"/>
  </w:num>
  <w:num w:numId="7">
    <w:abstractNumId w:val="3"/>
  </w:num>
  <w:num w:numId="8">
    <w:abstractNumId w:val="0"/>
  </w:num>
  <w:num w:numId="9">
    <w:abstractNumId w:val="2"/>
  </w:num>
  <w:num w:numId="10">
    <w:abstractNumId w:val="1"/>
  </w:num>
  <w:num w:numId="11">
    <w:abstractNumId w:val="13"/>
  </w:num>
  <w:num w:numId="12">
    <w:abstractNumId w:val="12"/>
  </w:num>
  <w:num w:numId="13">
    <w:abstractNumId w:val="12"/>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num>
  <w:num w:numId="17">
    <w:abstractNumId w:val="7"/>
    <w:lvlOverride w:ilvl="0">
      <w:startOverride w:val="1"/>
    </w:lvlOverride>
  </w:num>
  <w:num w:numId="18">
    <w:abstractNumId w:val="10"/>
  </w:num>
  <w:num w:numId="19">
    <w:abstractNumId w:val="9"/>
  </w:num>
  <w:num w:numId="20">
    <w:abstractNumId w:val="4"/>
  </w:num>
  <w:num w:numId="21">
    <w:abstractNumId w:val="11"/>
  </w:num>
  <w:num w:numId="22">
    <w:abstractNumId w:val="5"/>
  </w:num>
  <w:num w:numId="23">
    <w:abstractNumId w:val="6"/>
    <w:lvlOverride w:ilvl="0">
      <w:startOverride w:val="1"/>
    </w:lvlOverride>
  </w:num>
  <w:num w:numId="24">
    <w:abstractNumId w:val="7"/>
    <w:lvlOverride w:ilvl="0">
      <w:startOverride w:val="1"/>
    </w:lvlOverride>
  </w:num>
  <w:num w:numId="25">
    <w:abstractNumId w:val="6"/>
    <w:lvlOverride w:ilvl="0">
      <w:startOverride w:val="1"/>
    </w:lvlOverride>
  </w:num>
  <w:num w:numId="26">
    <w:abstractNumId w:val="7"/>
    <w:lvlOverride w:ilvl="0">
      <w:startOverride w:val="1"/>
    </w:lvlOverride>
  </w:num>
  <w:num w:numId="27">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3980"/>
    <w:rsid w:val="00024D4F"/>
    <w:rsid w:val="0003174A"/>
    <w:rsid w:val="00051DAE"/>
    <w:rsid w:val="00062576"/>
    <w:rsid w:val="0006734D"/>
    <w:rsid w:val="0007116F"/>
    <w:rsid w:val="00083AB5"/>
    <w:rsid w:val="00085B26"/>
    <w:rsid w:val="0008612A"/>
    <w:rsid w:val="00086C7E"/>
    <w:rsid w:val="00092349"/>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5AA2"/>
    <w:rsid w:val="000F03B3"/>
    <w:rsid w:val="00102B7F"/>
    <w:rsid w:val="0010312F"/>
    <w:rsid w:val="00106A4D"/>
    <w:rsid w:val="0011055D"/>
    <w:rsid w:val="00113EB6"/>
    <w:rsid w:val="0012068C"/>
    <w:rsid w:val="00133979"/>
    <w:rsid w:val="00140A7B"/>
    <w:rsid w:val="00146E95"/>
    <w:rsid w:val="00151289"/>
    <w:rsid w:val="00152854"/>
    <w:rsid w:val="001558C6"/>
    <w:rsid w:val="001661C0"/>
    <w:rsid w:val="00167D05"/>
    <w:rsid w:val="0017054F"/>
    <w:rsid w:val="001721B4"/>
    <w:rsid w:val="001745F8"/>
    <w:rsid w:val="001765A9"/>
    <w:rsid w:val="00181419"/>
    <w:rsid w:val="001838CF"/>
    <w:rsid w:val="00185E3E"/>
    <w:rsid w:val="001911B5"/>
    <w:rsid w:val="00196DDC"/>
    <w:rsid w:val="001A2C08"/>
    <w:rsid w:val="001A325B"/>
    <w:rsid w:val="001A3BA4"/>
    <w:rsid w:val="001A7E89"/>
    <w:rsid w:val="001B73C9"/>
    <w:rsid w:val="001C0B32"/>
    <w:rsid w:val="001C1121"/>
    <w:rsid w:val="001C1FCE"/>
    <w:rsid w:val="001C2581"/>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40B"/>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44CF2"/>
    <w:rsid w:val="00251266"/>
    <w:rsid w:val="00254C32"/>
    <w:rsid w:val="002727AD"/>
    <w:rsid w:val="002730B7"/>
    <w:rsid w:val="002734C1"/>
    <w:rsid w:val="002765F7"/>
    <w:rsid w:val="0027743D"/>
    <w:rsid w:val="002833BE"/>
    <w:rsid w:val="0029615F"/>
    <w:rsid w:val="00296D5E"/>
    <w:rsid w:val="002A0980"/>
    <w:rsid w:val="002A0C28"/>
    <w:rsid w:val="002A361B"/>
    <w:rsid w:val="002A7656"/>
    <w:rsid w:val="002B011B"/>
    <w:rsid w:val="002B0E46"/>
    <w:rsid w:val="002B0F40"/>
    <w:rsid w:val="002B2D5F"/>
    <w:rsid w:val="002B33C2"/>
    <w:rsid w:val="002B4922"/>
    <w:rsid w:val="002B5229"/>
    <w:rsid w:val="002B7A0E"/>
    <w:rsid w:val="002C2D19"/>
    <w:rsid w:val="002C3172"/>
    <w:rsid w:val="002C3C2A"/>
    <w:rsid w:val="002C5A75"/>
    <w:rsid w:val="002D007E"/>
    <w:rsid w:val="002D10FA"/>
    <w:rsid w:val="002D4C55"/>
    <w:rsid w:val="002E2C04"/>
    <w:rsid w:val="002E789B"/>
    <w:rsid w:val="002F0AE1"/>
    <w:rsid w:val="002F3C1D"/>
    <w:rsid w:val="002F53AA"/>
    <w:rsid w:val="00304D73"/>
    <w:rsid w:val="00304F07"/>
    <w:rsid w:val="00313A99"/>
    <w:rsid w:val="00313D35"/>
    <w:rsid w:val="00323912"/>
    <w:rsid w:val="0032511B"/>
    <w:rsid w:val="0033121B"/>
    <w:rsid w:val="003342A6"/>
    <w:rsid w:val="00335B04"/>
    <w:rsid w:val="0033676A"/>
    <w:rsid w:val="0033770D"/>
    <w:rsid w:val="003444E4"/>
    <w:rsid w:val="003542D7"/>
    <w:rsid w:val="00355361"/>
    <w:rsid w:val="003553DA"/>
    <w:rsid w:val="0036023F"/>
    <w:rsid w:val="00360976"/>
    <w:rsid w:val="003624F2"/>
    <w:rsid w:val="00362FE6"/>
    <w:rsid w:val="00363F92"/>
    <w:rsid w:val="0037394B"/>
    <w:rsid w:val="0037420A"/>
    <w:rsid w:val="00375AD3"/>
    <w:rsid w:val="00376792"/>
    <w:rsid w:val="00383B16"/>
    <w:rsid w:val="0038693A"/>
    <w:rsid w:val="00391AA4"/>
    <w:rsid w:val="00392B4A"/>
    <w:rsid w:val="00395772"/>
    <w:rsid w:val="003A2C77"/>
    <w:rsid w:val="003A5D52"/>
    <w:rsid w:val="003A6F28"/>
    <w:rsid w:val="003B3DAD"/>
    <w:rsid w:val="003B659E"/>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900C0"/>
    <w:rsid w:val="0049206B"/>
    <w:rsid w:val="004A0531"/>
    <w:rsid w:val="004A180B"/>
    <w:rsid w:val="004A1D33"/>
    <w:rsid w:val="004A78ED"/>
    <w:rsid w:val="004B6072"/>
    <w:rsid w:val="004B6784"/>
    <w:rsid w:val="004C18E8"/>
    <w:rsid w:val="004D0A54"/>
    <w:rsid w:val="004D65D1"/>
    <w:rsid w:val="004E3668"/>
    <w:rsid w:val="004E54F2"/>
    <w:rsid w:val="004E5E66"/>
    <w:rsid w:val="004E70AE"/>
    <w:rsid w:val="004F0CEC"/>
    <w:rsid w:val="004F3201"/>
    <w:rsid w:val="004F3975"/>
    <w:rsid w:val="00500C24"/>
    <w:rsid w:val="00503B4D"/>
    <w:rsid w:val="00504EE9"/>
    <w:rsid w:val="005067E2"/>
    <w:rsid w:val="005107CC"/>
    <w:rsid w:val="005134B3"/>
    <w:rsid w:val="00513F64"/>
    <w:rsid w:val="00515ECE"/>
    <w:rsid w:val="0051682F"/>
    <w:rsid w:val="005179DF"/>
    <w:rsid w:val="00522966"/>
    <w:rsid w:val="00523912"/>
    <w:rsid w:val="0052639F"/>
    <w:rsid w:val="0053536C"/>
    <w:rsid w:val="00535414"/>
    <w:rsid w:val="0054442C"/>
    <w:rsid w:val="00544434"/>
    <w:rsid w:val="00546BCE"/>
    <w:rsid w:val="00547331"/>
    <w:rsid w:val="00550285"/>
    <w:rsid w:val="00557085"/>
    <w:rsid w:val="00564055"/>
    <w:rsid w:val="0056640E"/>
    <w:rsid w:val="00567AE8"/>
    <w:rsid w:val="005836F8"/>
    <w:rsid w:val="00583ABC"/>
    <w:rsid w:val="00586D64"/>
    <w:rsid w:val="005918FA"/>
    <w:rsid w:val="005934D0"/>
    <w:rsid w:val="00595E95"/>
    <w:rsid w:val="00596090"/>
    <w:rsid w:val="0059633F"/>
    <w:rsid w:val="00597FAF"/>
    <w:rsid w:val="005A47E5"/>
    <w:rsid w:val="005A7116"/>
    <w:rsid w:val="005C23A4"/>
    <w:rsid w:val="005C3958"/>
    <w:rsid w:val="005C6EC5"/>
    <w:rsid w:val="005C7CCD"/>
    <w:rsid w:val="005D1CDF"/>
    <w:rsid w:val="005D2C2C"/>
    <w:rsid w:val="005D37E3"/>
    <w:rsid w:val="005D60EE"/>
    <w:rsid w:val="005D7332"/>
    <w:rsid w:val="005D7CEF"/>
    <w:rsid w:val="005E0AD9"/>
    <w:rsid w:val="005E5BB9"/>
    <w:rsid w:val="005E61A8"/>
    <w:rsid w:val="005F21B1"/>
    <w:rsid w:val="005F23EE"/>
    <w:rsid w:val="005F3FD2"/>
    <w:rsid w:val="005F4585"/>
    <w:rsid w:val="005F6419"/>
    <w:rsid w:val="0060097E"/>
    <w:rsid w:val="00604661"/>
    <w:rsid w:val="0060479A"/>
    <w:rsid w:val="0061174E"/>
    <w:rsid w:val="00612B12"/>
    <w:rsid w:val="00613549"/>
    <w:rsid w:val="00613BF4"/>
    <w:rsid w:val="006147DC"/>
    <w:rsid w:val="00615D7A"/>
    <w:rsid w:val="00617400"/>
    <w:rsid w:val="00630CA4"/>
    <w:rsid w:val="006402D3"/>
    <w:rsid w:val="006442E4"/>
    <w:rsid w:val="00651170"/>
    <w:rsid w:val="00654E32"/>
    <w:rsid w:val="006556FA"/>
    <w:rsid w:val="006563D9"/>
    <w:rsid w:val="00663830"/>
    <w:rsid w:val="00664950"/>
    <w:rsid w:val="00676348"/>
    <w:rsid w:val="00683220"/>
    <w:rsid w:val="006865DF"/>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C50AE"/>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26AC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038"/>
    <w:rsid w:val="00785232"/>
    <w:rsid w:val="0078609D"/>
    <w:rsid w:val="00792CAE"/>
    <w:rsid w:val="007A0244"/>
    <w:rsid w:val="007B5D28"/>
    <w:rsid w:val="007B68BF"/>
    <w:rsid w:val="007B6CEB"/>
    <w:rsid w:val="007C06B0"/>
    <w:rsid w:val="007C0D24"/>
    <w:rsid w:val="007C3ED0"/>
    <w:rsid w:val="007C4B03"/>
    <w:rsid w:val="007C4D9B"/>
    <w:rsid w:val="007C6469"/>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262F"/>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0BCC"/>
    <w:rsid w:val="008B12A4"/>
    <w:rsid w:val="008B4864"/>
    <w:rsid w:val="008C0807"/>
    <w:rsid w:val="008C1E9E"/>
    <w:rsid w:val="008C28BC"/>
    <w:rsid w:val="008C3539"/>
    <w:rsid w:val="008C4511"/>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360B3"/>
    <w:rsid w:val="009408A9"/>
    <w:rsid w:val="00945A6A"/>
    <w:rsid w:val="0094744C"/>
    <w:rsid w:val="00950E0B"/>
    <w:rsid w:val="00954D01"/>
    <w:rsid w:val="00964F3D"/>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5766"/>
    <w:rsid w:val="009F5893"/>
    <w:rsid w:val="00A047B9"/>
    <w:rsid w:val="00A14AB4"/>
    <w:rsid w:val="00A1511F"/>
    <w:rsid w:val="00A1550B"/>
    <w:rsid w:val="00A15CC6"/>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5638"/>
    <w:rsid w:val="00A777FC"/>
    <w:rsid w:val="00A83E32"/>
    <w:rsid w:val="00A84B68"/>
    <w:rsid w:val="00A87FE7"/>
    <w:rsid w:val="00A95407"/>
    <w:rsid w:val="00A965C0"/>
    <w:rsid w:val="00AA1B0E"/>
    <w:rsid w:val="00AA354E"/>
    <w:rsid w:val="00AB1694"/>
    <w:rsid w:val="00AB2F2D"/>
    <w:rsid w:val="00AB6EEA"/>
    <w:rsid w:val="00AC32AC"/>
    <w:rsid w:val="00AC5CA7"/>
    <w:rsid w:val="00AD23FB"/>
    <w:rsid w:val="00AD3553"/>
    <w:rsid w:val="00AD74E7"/>
    <w:rsid w:val="00AD7C25"/>
    <w:rsid w:val="00AE1928"/>
    <w:rsid w:val="00AE2D41"/>
    <w:rsid w:val="00AE403B"/>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27739"/>
    <w:rsid w:val="00B3228D"/>
    <w:rsid w:val="00B405CC"/>
    <w:rsid w:val="00B40AF9"/>
    <w:rsid w:val="00B5748D"/>
    <w:rsid w:val="00B6388E"/>
    <w:rsid w:val="00B6418A"/>
    <w:rsid w:val="00B664A5"/>
    <w:rsid w:val="00B709EA"/>
    <w:rsid w:val="00B71FD3"/>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B7BDB"/>
    <w:rsid w:val="00BC5FED"/>
    <w:rsid w:val="00BD2440"/>
    <w:rsid w:val="00BE04E1"/>
    <w:rsid w:val="00BE253A"/>
    <w:rsid w:val="00BF18C0"/>
    <w:rsid w:val="00BF2218"/>
    <w:rsid w:val="00BF4CED"/>
    <w:rsid w:val="00C00C0A"/>
    <w:rsid w:val="00C040A9"/>
    <w:rsid w:val="00C12317"/>
    <w:rsid w:val="00C135EE"/>
    <w:rsid w:val="00C13770"/>
    <w:rsid w:val="00C16930"/>
    <w:rsid w:val="00C17ABA"/>
    <w:rsid w:val="00C206B3"/>
    <w:rsid w:val="00C21ADB"/>
    <w:rsid w:val="00C225FC"/>
    <w:rsid w:val="00C23624"/>
    <w:rsid w:val="00C24946"/>
    <w:rsid w:val="00C2501C"/>
    <w:rsid w:val="00C251A8"/>
    <w:rsid w:val="00C27C32"/>
    <w:rsid w:val="00C3112F"/>
    <w:rsid w:val="00C31448"/>
    <w:rsid w:val="00C33CCA"/>
    <w:rsid w:val="00C53940"/>
    <w:rsid w:val="00C53CD6"/>
    <w:rsid w:val="00C64570"/>
    <w:rsid w:val="00C67938"/>
    <w:rsid w:val="00C7490E"/>
    <w:rsid w:val="00C74D29"/>
    <w:rsid w:val="00C75B95"/>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C00D0"/>
    <w:rsid w:val="00CD6047"/>
    <w:rsid w:val="00CD7492"/>
    <w:rsid w:val="00CE1673"/>
    <w:rsid w:val="00CE2C7B"/>
    <w:rsid w:val="00CE3A6B"/>
    <w:rsid w:val="00CE789D"/>
    <w:rsid w:val="00CF4301"/>
    <w:rsid w:val="00D00211"/>
    <w:rsid w:val="00D06309"/>
    <w:rsid w:val="00D101B2"/>
    <w:rsid w:val="00D120AC"/>
    <w:rsid w:val="00D15494"/>
    <w:rsid w:val="00D21EF9"/>
    <w:rsid w:val="00D244A1"/>
    <w:rsid w:val="00D2691B"/>
    <w:rsid w:val="00D3084E"/>
    <w:rsid w:val="00D34394"/>
    <w:rsid w:val="00D351EA"/>
    <w:rsid w:val="00D41336"/>
    <w:rsid w:val="00D431E7"/>
    <w:rsid w:val="00D43403"/>
    <w:rsid w:val="00D43815"/>
    <w:rsid w:val="00D51109"/>
    <w:rsid w:val="00D51B3E"/>
    <w:rsid w:val="00D60243"/>
    <w:rsid w:val="00D62E71"/>
    <w:rsid w:val="00D62E95"/>
    <w:rsid w:val="00D71395"/>
    <w:rsid w:val="00D71CE5"/>
    <w:rsid w:val="00D740CA"/>
    <w:rsid w:val="00D74F97"/>
    <w:rsid w:val="00D766FA"/>
    <w:rsid w:val="00D76C97"/>
    <w:rsid w:val="00D77446"/>
    <w:rsid w:val="00D8227F"/>
    <w:rsid w:val="00D841F0"/>
    <w:rsid w:val="00D85728"/>
    <w:rsid w:val="00D86891"/>
    <w:rsid w:val="00DA168C"/>
    <w:rsid w:val="00DA56A5"/>
    <w:rsid w:val="00DB01CB"/>
    <w:rsid w:val="00DB1979"/>
    <w:rsid w:val="00DB5167"/>
    <w:rsid w:val="00DB5BD1"/>
    <w:rsid w:val="00DC13DD"/>
    <w:rsid w:val="00DC18E4"/>
    <w:rsid w:val="00DC23E7"/>
    <w:rsid w:val="00DC2E19"/>
    <w:rsid w:val="00DC491A"/>
    <w:rsid w:val="00DC68FE"/>
    <w:rsid w:val="00DD2050"/>
    <w:rsid w:val="00DE1CCA"/>
    <w:rsid w:val="00DE5C2D"/>
    <w:rsid w:val="00DF1C6A"/>
    <w:rsid w:val="00DF2997"/>
    <w:rsid w:val="00DF3727"/>
    <w:rsid w:val="00DF41F9"/>
    <w:rsid w:val="00DF49F4"/>
    <w:rsid w:val="00E041BD"/>
    <w:rsid w:val="00E05319"/>
    <w:rsid w:val="00E067AD"/>
    <w:rsid w:val="00E07836"/>
    <w:rsid w:val="00E145DB"/>
    <w:rsid w:val="00E257CB"/>
    <w:rsid w:val="00E458CA"/>
    <w:rsid w:val="00E4606C"/>
    <w:rsid w:val="00E47C78"/>
    <w:rsid w:val="00E50338"/>
    <w:rsid w:val="00E66F0A"/>
    <w:rsid w:val="00E708BF"/>
    <w:rsid w:val="00EA38EF"/>
    <w:rsid w:val="00EB03EC"/>
    <w:rsid w:val="00EB7117"/>
    <w:rsid w:val="00EC6253"/>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4238"/>
    <w:rsid w:val="00F5432A"/>
    <w:rsid w:val="00F551F0"/>
    <w:rsid w:val="00F571C5"/>
    <w:rsid w:val="00F60DF2"/>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006E"/>
    <w:rsid w:val="00FA6DBF"/>
    <w:rsid w:val="00FA7BC8"/>
    <w:rsid w:val="00FC29B9"/>
    <w:rsid w:val="00FC2C5B"/>
    <w:rsid w:val="00FC45E0"/>
    <w:rsid w:val="00FC6FD3"/>
    <w:rsid w:val="00FC7746"/>
    <w:rsid w:val="00FC7F0B"/>
    <w:rsid w:val="00FD0971"/>
    <w:rsid w:val="00FD2B3E"/>
    <w:rsid w:val="00FD61BA"/>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71FD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uiPriority w:val="99"/>
    <w:qFormat/>
    <w:rsid w:val="00513F64"/>
    <w:rPr>
      <w:rFonts w:eastAsia="SimSun"/>
      <w:b/>
    </w:rPr>
  </w:style>
  <w:style w:type="character" w:customStyle="1" w:styleId="TAHCar">
    <w:name w:val="TAH Car"/>
    <w:link w:val="TAH"/>
    <w:uiPriority w:val="99"/>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987705402">
          <w:marLeft w:val="547"/>
          <w:marRight w:val="0"/>
          <w:marTop w:val="106"/>
          <w:marBottom w:val="0"/>
          <w:divBdr>
            <w:top w:val="none" w:sz="0" w:space="0" w:color="auto"/>
            <w:left w:val="none" w:sz="0" w:space="0" w:color="auto"/>
            <w:bottom w:val="none" w:sz="0" w:space="0" w:color="auto"/>
            <w:right w:val="none" w:sz="0" w:space="0" w:color="auto"/>
          </w:divBdr>
        </w:div>
        <w:div w:id="351151298">
          <w:marLeft w:val="1166"/>
          <w:marRight w:val="0"/>
          <w:marTop w:val="9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933657156">
          <w:marLeft w:val="547"/>
          <w:marRight w:val="0"/>
          <w:marTop w:val="144"/>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553731072">
          <w:marLeft w:val="1166"/>
          <w:marRight w:val="0"/>
          <w:marTop w:val="125"/>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858037765">
          <w:marLeft w:val="547"/>
          <w:marRight w:val="0"/>
          <w:marTop w:val="15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260791022">
          <w:marLeft w:val="1166"/>
          <w:marRight w:val="0"/>
          <w:marTop w:val="13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007903273">
          <w:marLeft w:val="547"/>
          <w:marRight w:val="0"/>
          <w:marTop w:val="86"/>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194467634">
          <w:marLeft w:val="1800"/>
          <w:marRight w:val="0"/>
          <w:marTop w:val="6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409578761">
          <w:marLeft w:val="547"/>
          <w:marRight w:val="0"/>
          <w:marTop w:val="72"/>
          <w:marBottom w:val="0"/>
          <w:divBdr>
            <w:top w:val="none" w:sz="0" w:space="0" w:color="auto"/>
            <w:left w:val="none" w:sz="0" w:space="0" w:color="auto"/>
            <w:bottom w:val="none" w:sz="0" w:space="0" w:color="auto"/>
            <w:right w:val="none" w:sz="0" w:space="0" w:color="auto"/>
          </w:divBdr>
        </w:div>
        <w:div w:id="191920360">
          <w:marLeft w:val="1166"/>
          <w:marRight w:val="0"/>
          <w:marTop w:val="6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161429036">
          <w:marLeft w:val="547"/>
          <w:marRight w:val="0"/>
          <w:marTop w:val="96"/>
          <w:marBottom w:val="0"/>
          <w:divBdr>
            <w:top w:val="none" w:sz="0" w:space="0" w:color="auto"/>
            <w:left w:val="none" w:sz="0" w:space="0" w:color="auto"/>
            <w:bottom w:val="none" w:sz="0" w:space="0" w:color="auto"/>
            <w:right w:val="none" w:sz="0" w:space="0" w:color="auto"/>
          </w:divBdr>
        </w:div>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4233448">
          <w:marLeft w:val="547"/>
          <w:marRight w:val="0"/>
          <w:marTop w:val="7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82998031">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1423911445">
          <w:marLeft w:val="547"/>
          <w:marRight w:val="0"/>
          <w:marTop w:val="115"/>
          <w:marBottom w:val="0"/>
          <w:divBdr>
            <w:top w:val="none" w:sz="0" w:space="0" w:color="auto"/>
            <w:left w:val="none" w:sz="0" w:space="0" w:color="auto"/>
            <w:bottom w:val="none" w:sz="0" w:space="0" w:color="auto"/>
            <w:right w:val="none" w:sz="0" w:space="0" w:color="auto"/>
          </w:divBdr>
        </w:div>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465439717">
          <w:marLeft w:val="547"/>
          <w:marRight w:val="0"/>
          <w:marTop w:val="7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16801363">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821626859">
          <w:marLeft w:val="547"/>
          <w:marRight w:val="0"/>
          <w:marTop w:val="154"/>
          <w:marBottom w:val="0"/>
          <w:divBdr>
            <w:top w:val="none" w:sz="0" w:space="0" w:color="auto"/>
            <w:left w:val="none" w:sz="0" w:space="0" w:color="auto"/>
            <w:bottom w:val="none" w:sz="0" w:space="0" w:color="auto"/>
            <w:right w:val="none" w:sz="0" w:space="0" w:color="auto"/>
          </w:divBdr>
        </w:div>
        <w:div w:id="770859925">
          <w:marLeft w:val="1166"/>
          <w:marRight w:val="0"/>
          <w:marTop w:val="134"/>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7885393964e1b9b893c9ec92d5e32bb5">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36de3d1e9c0c1f02a1322ba69b75a93f"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B1710-28A1-4BA3-9701-58332207DCC7}">
  <ds:schemaRefs>
    <ds:schemaRef ds:uri="http://schemas.microsoft.com/sharepoint/v3/contenttype/forms"/>
  </ds:schemaRefs>
</ds:datastoreItem>
</file>

<file path=customXml/itemProps2.xml><?xml version="1.0" encoding="utf-8"?>
<ds:datastoreItem xmlns:ds="http://schemas.openxmlformats.org/officeDocument/2006/customXml" ds:itemID="{64207A51-BDCA-47CF-8655-20E7BC043CA0}">
  <ds:schemaRefs>
    <ds:schemaRef ds:uri="http://purl.org/dc/elements/1.1/"/>
    <ds:schemaRef ds:uri="71c5aaf6-e6ce-465b-b873-5148d2a4c105"/>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000459d3-9bdf-4161-9c93-492473c3995e"/>
    <ds:schemaRef ds:uri="5d90a6a8-9e9e-4ef5-9829-7373fb615be0"/>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C1EF608-98CF-43B0-AF3A-EF214BE00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0C0BA-D34E-496A-912C-7FD5D2ABF1BD}">
  <ds:schemaRefs>
    <ds:schemaRef ds:uri="Microsoft.SharePoint.Taxonomy.ContentTypeSync"/>
  </ds:schemaRefs>
</ds:datastoreItem>
</file>

<file path=customXml/itemProps5.xml><?xml version="1.0" encoding="utf-8"?>
<ds:datastoreItem xmlns:ds="http://schemas.openxmlformats.org/officeDocument/2006/customXml" ds:itemID="{845C2B0F-81E0-4349-8A48-30BDA551E63F}">
  <ds:schemaRefs>
    <ds:schemaRef ds:uri="http://schemas.microsoft.com/sharepoint/events"/>
  </ds:schemaRefs>
</ds:datastoreItem>
</file>

<file path=customXml/itemProps6.xml><?xml version="1.0" encoding="utf-8"?>
<ds:datastoreItem xmlns:ds="http://schemas.openxmlformats.org/officeDocument/2006/customXml" ds:itemID="{CADABCA5-CC71-451A-945A-0F320770E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1757</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15</cp:revision>
  <dcterms:created xsi:type="dcterms:W3CDTF">2020-08-03T13:32:00Z</dcterms:created>
  <dcterms:modified xsi:type="dcterms:W3CDTF">2020-08-06T17:12:00Z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0x010100971879893FE30B4793122FCA8F4D6B50</vt:lpwstr>
  </property>
</Properties>
</file>